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1.jpeg" ContentType="image/jpeg"/>
  <Override PartName="/word/media/image4.jpeg" ContentType="image/jpeg"/>
  <Override PartName="/word/media/image1.jpeg" ContentType="image/jpeg"/>
  <Override PartName="/word/media/image8.jpeg" ContentType="image/jpeg"/>
  <Override PartName="/word/media/image12.jpeg" ContentType="image/jpeg"/>
  <Override PartName="/word/media/image5.jpeg" ContentType="image/jpeg"/>
  <Override PartName="/word/media/image9.jpeg" ContentType="image/jpeg"/>
  <Override PartName="/word/media/image13.jpeg" ContentType="image/jpeg"/>
  <Override PartName="/word/media/image2.png" ContentType="image/png"/>
  <Override PartName="/word/media/image6.jpeg" ContentType="image/jpeg"/>
  <Override PartName="/word/media/image10.jpeg" ContentType="image/jpeg"/>
  <Override PartName="/word/media/image3.jpeg" ContentType="image/jpeg"/>
  <Override PartName="/word/media/image7.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Pr>
      <w:r>
        <w:rPr>
          <w:rFonts w:ascii="Arial" w:hAnsi="Arial"/>
          <w:bCs/>
          <w:sz w:val="22"/>
          <w:szCs w:val="22"/>
        </w:rPr>
        <w:drawing>
          <wp:anchor allowOverlap="1" behindDoc="0" distB="0" distL="0" distR="0" distT="0" layoutInCell="1" locked="0" relativeHeight="5" simplePos="0">
            <wp:simplePos x="0" y="0"/>
            <wp:positionH relativeFrom="character">
              <wp:posOffset>5715</wp:posOffset>
            </wp:positionH>
            <wp:positionV relativeFrom="line">
              <wp:posOffset>-255270</wp:posOffset>
            </wp:positionV>
            <wp:extent cx="6351905" cy="835025"/>
            <wp:effectExtent b="0" l="0" r="0" t="0"/>
            <wp:wrapSquare wrapText="bothSides"/>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6351905" cy="835025"/>
                    </a:xfrm>
                    <a:prstGeom prst="rect">
                      <a:avLst/>
                    </a:prstGeom>
                    <a:noFill/>
                    <a:ln w="9525">
                      <a:noFill/>
                      <a:miter lim="800000"/>
                      <a:headEnd/>
                      <a:tailEnd/>
                    </a:ln>
                  </pic:spPr>
                </pic:pic>
              </a:graphicData>
            </a:graphic>
          </wp:anchor>
        </w:drawing>
      </w:r>
    </w:p>
    <w:p>
      <w:pPr>
        <w:pStyle w:val="style0"/>
        <w:jc w:val="center"/>
      </w:pPr>
      <w:r>
        <w:rPr>
          <w:rFonts w:ascii="Arial" w:hAnsi="Arial"/>
          <w:b/>
          <w:bCs/>
          <w:sz w:val="22"/>
          <w:szCs w:val="22"/>
        </w:rPr>
        <w:t>Primary Health Care Department Report 2013/14</w:t>
      </w:r>
    </w:p>
    <w:p>
      <w:pPr>
        <w:pStyle w:val="style0"/>
        <w:jc w:val="both"/>
      </w:pPr>
      <w:r>
        <w:rPr>
          <w:rFonts w:ascii="Arial" w:hAnsi="Arial"/>
          <w:bCs/>
          <w:sz w:val="22"/>
          <w:szCs w:val="22"/>
        </w:rPr>
      </w:r>
    </w:p>
    <w:p>
      <w:pPr>
        <w:pStyle w:val="style0"/>
        <w:jc w:val="both"/>
      </w:pPr>
      <w:r>
        <w:rPr>
          <w:rFonts w:ascii="Arial" w:hAnsi="Arial"/>
          <w:bCs/>
          <w:sz w:val="22"/>
          <w:szCs w:val="22"/>
        </w:rPr>
        <w:t>1.</w:t>
        <w:tab/>
        <w:t>GENERAL OBSERVATIONS</w:t>
      </w:r>
    </w:p>
    <w:p>
      <w:pPr>
        <w:pStyle w:val="style0"/>
        <w:jc w:val="both"/>
      </w:pPr>
      <w:r>
        <w:rPr>
          <w:rFonts w:ascii="Arial" w:hAnsi="Arial"/>
          <w:sz w:val="22"/>
          <w:szCs w:val="22"/>
        </w:rPr>
        <w:t>In the year 2013/2014 (the financial year runs from July to June) the Primary Health Care (PHC) department continued to offer integrated services in its six areas of intervention, which include Mother and Child Health, Nutrition, Environmental Health, HIV/AIDS prevention, treatment and care, Palliative care  and Orphan care.</w:t>
      </w:r>
      <w:r>
        <w:rPr>
          <w:rFonts w:ascii="Arial" w:hAnsi="Arial"/>
          <w:color w:val="FF0000"/>
          <w:sz w:val="22"/>
          <w:szCs w:val="22"/>
        </w:rPr>
        <w:t xml:space="preserve">  </w:t>
      </w:r>
    </w:p>
    <w:p>
      <w:pPr>
        <w:pStyle w:val="style0"/>
        <w:ind w:hanging="0" w:left="228" w:right="0"/>
        <w:jc w:val="both"/>
      </w:pPr>
      <w:r>
        <w:rPr>
          <w:rFonts w:ascii="Arial" w:hAnsi="Arial"/>
          <w:color w:val="FF0000"/>
          <w:sz w:val="22"/>
          <w:szCs w:val="22"/>
        </w:rPr>
      </w:r>
    </w:p>
    <w:p>
      <w:pPr>
        <w:pStyle w:val="style2"/>
        <w:ind w:hanging="0" w:left="0" w:right="0"/>
        <w:jc w:val="both"/>
      </w:pPr>
      <w:bookmarkStart w:id="0" w:name="_Toc113883271"/>
      <w:bookmarkEnd w:id="0"/>
      <w:r>
        <w:rPr>
          <w:rFonts w:ascii="Arial" w:hAnsi="Arial"/>
          <w:bCs/>
          <w:sz w:val="22"/>
          <w:szCs w:val="22"/>
          <w:u w:val="none"/>
        </w:rPr>
        <w:t>2.</w:t>
        <w:tab/>
        <w:t>STAFFING</w:t>
      </w:r>
    </w:p>
    <w:p>
      <w:pPr>
        <w:pStyle w:val="style0"/>
        <w:jc w:val="both"/>
      </w:pPr>
      <w:r>
        <w:rPr>
          <w:rFonts w:ascii="Arial" w:hAnsi="Arial"/>
          <w:sz w:val="22"/>
          <w:szCs w:val="22"/>
        </w:rPr>
        <w:t xml:space="preserve">The department had 22 Members of staff during this reporting period. This include four community health nurses, four nursing midwifery technicians, two senior enrolled nurses, one Environmental Health Officer, one Senior Health Assistant with 68 health surveillance assistants who are civil servants.  The HTC department has 5 counsellors and one youth volunteer counsellor while nutrition and orphan care has one agriculture field assistant, and three home craft workers.  The youth program was run by a youth centre manager who is also an HIV/AIDs Coordinator. We had one resignation, of the PHC Coordinator, who was replaced by an Environmental Health Officer, so there is currently one vacancy for an Environmental Health Officer. </w:t>
      </w:r>
    </w:p>
    <w:p>
      <w:pPr>
        <w:pStyle w:val="style0"/>
        <w:ind w:firstLine="3" w:left="720" w:right="0"/>
        <w:jc w:val="both"/>
      </w:pPr>
      <w:r>
        <w:rPr>
          <w:rFonts w:ascii="Arial" w:hAnsi="Arial"/>
          <w:color w:val="FF0000"/>
          <w:sz w:val="22"/>
          <w:szCs w:val="22"/>
        </w:rPr>
      </w:r>
    </w:p>
    <w:p>
      <w:pPr>
        <w:pStyle w:val="style0"/>
        <w:jc w:val="both"/>
      </w:pPr>
      <w:bookmarkStart w:id="1" w:name="_Toc113883272"/>
      <w:r>
        <w:rPr>
          <w:rFonts w:ascii="Arial" w:hAnsi="Arial"/>
          <w:bCs/>
          <w:sz w:val="22"/>
          <w:szCs w:val="22"/>
        </w:rPr>
        <w:t>3.</w:t>
      </w:r>
      <w:bookmarkEnd w:id="1"/>
      <w:r>
        <w:rPr>
          <w:rFonts w:ascii="Arial" w:hAnsi="Arial"/>
          <w:bCs/>
          <w:sz w:val="22"/>
          <w:szCs w:val="22"/>
        </w:rPr>
        <w:tab/>
      </w:r>
      <w:r>
        <w:rPr>
          <w:rFonts w:ascii="Arial" w:hAnsi="Arial"/>
          <w:sz w:val="22"/>
          <w:szCs w:val="22"/>
          <w:lang w:val="en-GB"/>
        </w:rPr>
        <w:t>CATCHMENT AREA</w:t>
      </w:r>
    </w:p>
    <w:p>
      <w:pPr>
        <w:pStyle w:val="style0"/>
        <w:jc w:val="both"/>
      </w:pPr>
      <w:r>
        <w:rPr>
          <w:rFonts w:ascii="Arial" w:hAnsi="Arial"/>
          <w:sz w:val="22"/>
          <w:szCs w:val="22"/>
          <w:lang w:val="en-GB"/>
        </w:rPr>
        <w:t>Mulanje Mission catchment area has a total of 72 villages and a population of about 84197; these are manned by Health Surveillance Assistants (HSAs). Most HSAs have one village except a few who have two villages each. The catchment area is divided into two, Mulanje Mission Hospital area which has 42 villages and Chisitu Health Centre area which has 30. This number of villages is going to grow because some big villages have been divided by government.</w:t>
      </w:r>
    </w:p>
    <w:p>
      <w:pPr>
        <w:pStyle w:val="style0"/>
        <w:jc w:val="both"/>
      </w:pPr>
      <w:r>
        <w:rPr>
          <w:rFonts w:ascii="Arial" w:hAnsi="Arial"/>
          <w:sz w:val="22"/>
          <w:szCs w:val="22"/>
          <w:lang w:val="en-GB"/>
        </w:rPr>
      </w:r>
    </w:p>
    <w:p>
      <w:pPr>
        <w:pStyle w:val="style0"/>
        <w:jc w:val="both"/>
      </w:pPr>
      <w:r>
        <w:rPr>
          <w:rFonts w:ascii="Arial" w:hAnsi="Arial"/>
          <w:sz w:val="22"/>
          <w:szCs w:val="22"/>
          <w:lang w:val="en-GB"/>
        </w:rPr>
        <w:drawing>
          <wp:anchor allowOverlap="1" behindDoc="0" distB="0" distL="0" distR="0" distT="0" layoutInCell="1" locked="0" relativeHeight="0" simplePos="0">
            <wp:simplePos x="0" y="0"/>
            <wp:positionH relativeFrom="character">
              <wp:posOffset>1161415</wp:posOffset>
            </wp:positionH>
            <wp:positionV relativeFrom="line">
              <wp:posOffset>635</wp:posOffset>
            </wp:positionV>
            <wp:extent cx="3576320" cy="3221355"/>
            <wp:effectExtent b="0" l="0" r="0" t="0"/>
            <wp:wrapSquare wrapText="bothSides"/>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3576320" cy="3221355"/>
                    </a:xfrm>
                    <a:prstGeom prst="rect">
                      <a:avLst/>
                    </a:prstGeom>
                    <a:noFill/>
                    <a:ln w="9525">
                      <a:noFill/>
                      <a:miter lim="800000"/>
                      <a:headEnd/>
                      <a:tailEnd/>
                    </a:ln>
                  </pic:spPr>
                </pic:pic>
              </a:graphicData>
            </a:graphic>
          </wp:anchor>
        </w:drawing>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sz w:val="22"/>
          <w:szCs w:val="22"/>
          <w:lang w:val="en-GB"/>
        </w:rPr>
      </w:r>
    </w:p>
    <w:p>
      <w:pPr>
        <w:pStyle w:val="style0"/>
        <w:jc w:val="both"/>
      </w:pPr>
      <w:r>
        <w:rPr>
          <w:rFonts w:ascii="Arial" w:hAnsi="Arial"/>
          <w:color w:val="000000"/>
          <w:sz w:val="22"/>
          <w:szCs w:val="22"/>
          <w:lang w:val="en-GB"/>
        </w:rPr>
        <w:t>4.</w:t>
      </w:r>
      <w:r>
        <w:rPr>
          <w:rFonts w:ascii="Arial" w:hAnsi="Arial"/>
          <w:b/>
          <w:color w:val="000000"/>
          <w:sz w:val="22"/>
          <w:szCs w:val="22"/>
          <w:lang w:val="en-GB"/>
        </w:rPr>
        <w:tab/>
      </w:r>
      <w:r>
        <w:rPr>
          <w:rFonts w:ascii="Arial" w:hAnsi="Arial"/>
          <w:color w:val="000000"/>
          <w:sz w:val="22"/>
          <w:szCs w:val="22"/>
          <w:lang w:val="en-GB"/>
        </w:rPr>
        <w:t>DEMOGRAPHIC DATA</w:t>
      </w:r>
    </w:p>
    <w:p>
      <w:pPr>
        <w:pStyle w:val="style0"/>
        <w:jc w:val="both"/>
      </w:pPr>
      <w:r>
        <w:rPr>
          <w:rFonts w:ascii="Arial" w:hAnsi="Arial"/>
          <w:color w:val="000000"/>
          <w:sz w:val="22"/>
          <w:szCs w:val="22"/>
          <w:lang w:val="en-GB"/>
        </w:rPr>
        <w:t>The total population for Mulanje Mission Hospital area is 84197 with 19112 households, of which 83% have access to safe</w:t>
      </w:r>
      <w:r>
        <w:rPr>
          <w:rFonts w:ascii="Arial" w:hAnsi="Arial"/>
          <w:b/>
          <w:color w:val="000000"/>
          <w:sz w:val="22"/>
          <w:szCs w:val="22"/>
          <w:lang w:val="en-GB"/>
        </w:rPr>
        <w:t xml:space="preserve"> </w:t>
      </w:r>
      <w:r>
        <w:rPr>
          <w:rFonts w:ascii="Arial" w:hAnsi="Arial"/>
          <w:color w:val="000000"/>
          <w:sz w:val="22"/>
          <w:szCs w:val="22"/>
          <w:lang w:val="en-GB"/>
        </w:rPr>
        <w:t>water and 71% have pit latrines. The total number of under fives is 11,967</w:t>
      </w:r>
    </w:p>
    <w:p>
      <w:pPr>
        <w:pStyle w:val="style2"/>
        <w:ind w:hanging="0" w:left="0" w:right="0"/>
        <w:jc w:val="both"/>
      </w:pPr>
      <w:r>
        <w:rPr>
          <w:rFonts w:ascii="Arial" w:hAnsi="Arial"/>
          <w:bCs/>
          <w:sz w:val="22"/>
          <w:szCs w:val="22"/>
          <w:u w:val="none"/>
        </w:rPr>
        <w:t>5.</w:t>
        <w:tab/>
        <w:t xml:space="preserve">ENVIRONMENTAL HEALTH </w:t>
      </w:r>
    </w:p>
    <w:p>
      <w:pPr>
        <w:pStyle w:val="style0"/>
        <w:jc w:val="both"/>
      </w:pPr>
      <w:r>
        <w:rPr>
          <w:rFonts w:ascii="Arial" w:hAnsi="Arial"/>
          <w:sz w:val="22"/>
          <w:szCs w:val="22"/>
          <w:lang w:val="en-GB"/>
        </w:rPr>
        <w:t>During the year 2013/ 2014 the Environmental Health staff continued assisting to improve and maintain a good state of health through the promotion of:</w:t>
      </w:r>
    </w:p>
    <w:p>
      <w:pPr>
        <w:pStyle w:val="style0"/>
        <w:jc w:val="both"/>
      </w:pPr>
      <w:r>
        <w:rPr>
          <w:rFonts w:ascii="Arial" w:hAnsi="Arial"/>
          <w:sz w:val="22"/>
          <w:szCs w:val="22"/>
          <w:lang w:val="en-GB"/>
        </w:rPr>
      </w:r>
    </w:p>
    <w:p>
      <w:pPr>
        <w:pStyle w:val="style0"/>
        <w:numPr>
          <w:ilvl w:val="0"/>
          <w:numId w:val="1"/>
        </w:numPr>
        <w:jc w:val="both"/>
      </w:pPr>
      <w:r>
        <w:rPr>
          <w:rFonts w:ascii="Arial" w:hAnsi="Arial"/>
          <w:sz w:val="22"/>
          <w:szCs w:val="22"/>
          <w:lang w:val="en-GB"/>
        </w:rPr>
        <w:t>Good sanitation at household level.</w:t>
      </w:r>
    </w:p>
    <w:p>
      <w:pPr>
        <w:pStyle w:val="style0"/>
        <w:ind w:hanging="0" w:left="720" w:right="0"/>
        <w:jc w:val="both"/>
      </w:pPr>
      <w:r>
        <w:rPr>
          <w:rFonts w:ascii="Arial" w:hAnsi="Arial"/>
          <w:sz w:val="22"/>
          <w:szCs w:val="22"/>
          <w:lang w:val="en-GB"/>
        </w:rPr>
        <w:t>H.S.As and community volunteers take a leading role in this task to make sure sanitary facilities are present at household level</w:t>
      </w:r>
    </w:p>
    <w:p>
      <w:pPr>
        <w:pStyle w:val="style0"/>
        <w:numPr>
          <w:ilvl w:val="0"/>
          <w:numId w:val="1"/>
        </w:numPr>
        <w:jc w:val="both"/>
      </w:pPr>
      <w:r>
        <w:rPr>
          <w:rFonts w:ascii="Arial" w:hAnsi="Arial"/>
          <w:sz w:val="22"/>
          <w:szCs w:val="22"/>
          <w:lang w:val="en-GB"/>
        </w:rPr>
        <w:t>Growth monitoring of children below the age of five years.</w:t>
      </w:r>
    </w:p>
    <w:p>
      <w:pPr>
        <w:pStyle w:val="style0"/>
        <w:ind w:hanging="0" w:left="720" w:right="0"/>
        <w:jc w:val="both"/>
      </w:pPr>
      <w:r>
        <w:rPr>
          <w:rFonts w:ascii="Arial" w:hAnsi="Arial"/>
          <w:sz w:val="22"/>
          <w:szCs w:val="22"/>
          <w:lang w:val="en-GB"/>
        </w:rPr>
        <w:t>This is a very important exercise to prevent child deaths due to malnutrition because malnutrition cases are identified early.</w:t>
      </w:r>
    </w:p>
    <w:p>
      <w:pPr>
        <w:pStyle w:val="style0"/>
        <w:numPr>
          <w:ilvl w:val="0"/>
          <w:numId w:val="1"/>
        </w:numPr>
        <w:jc w:val="both"/>
      </w:pPr>
      <w:r>
        <w:rPr>
          <w:rFonts w:ascii="Arial" w:hAnsi="Arial"/>
          <w:sz w:val="22"/>
          <w:szCs w:val="22"/>
          <w:lang w:val="en-GB"/>
        </w:rPr>
        <w:t>Information; health education by volunteers and HSA in order to create awareness of health issues.</w:t>
      </w:r>
    </w:p>
    <w:p>
      <w:pPr>
        <w:pStyle w:val="style0"/>
        <w:numPr>
          <w:ilvl w:val="0"/>
          <w:numId w:val="1"/>
        </w:numPr>
        <w:jc w:val="both"/>
      </w:pPr>
      <w:r>
        <w:rPr>
          <w:rFonts w:ascii="Arial" w:hAnsi="Arial"/>
          <w:sz w:val="22"/>
          <w:szCs w:val="22"/>
          <w:lang w:val="en-GB"/>
        </w:rPr>
        <w:t xml:space="preserve">Indoor residual spraying </w:t>
      </w:r>
    </w:p>
    <w:p>
      <w:pPr>
        <w:pStyle w:val="style0"/>
        <w:ind w:hanging="0" w:left="720" w:right="0"/>
        <w:jc w:val="both"/>
      </w:pPr>
      <w:r>
        <w:rPr>
          <w:rFonts w:ascii="Arial" w:hAnsi="Arial"/>
          <w:sz w:val="22"/>
          <w:szCs w:val="22"/>
          <w:lang w:val="en-GB"/>
        </w:rPr>
        <w:t>Indoor residual spraying has helped our community to experience less cases of malaria, IRS started in 2012 with 4 villages and in 2013 we increased to 22 villages, we are expecting to spray more villages this year. When we started, malaria cases were slightly above 10 per 100 populations but now are below this level.</w:t>
      </w:r>
    </w:p>
    <w:p>
      <w:pPr>
        <w:pStyle w:val="style0"/>
        <w:numPr>
          <w:ilvl w:val="0"/>
          <w:numId w:val="1"/>
        </w:numPr>
        <w:jc w:val="both"/>
      </w:pPr>
      <w:r>
        <w:rPr>
          <w:rFonts w:ascii="Arial" w:hAnsi="Arial"/>
          <w:sz w:val="22"/>
          <w:szCs w:val="22"/>
          <w:lang w:val="en-GB"/>
        </w:rPr>
        <w:t>Other disease control measures eg mass administration of praziquantel to combat schistosomiasis in school children..</w:t>
      </w:r>
    </w:p>
    <w:p>
      <w:pPr>
        <w:pStyle w:val="style0"/>
        <w:jc w:val="both"/>
      </w:pPr>
      <w:r>
        <w:rPr>
          <w:rFonts w:ascii="Arial" w:hAnsi="Arial"/>
          <w:color w:val="FF6600"/>
          <w:sz w:val="22"/>
          <w:szCs w:val="22"/>
          <w:lang w:val="en-GB"/>
        </w:rPr>
      </w:r>
    </w:p>
    <w:p>
      <w:pPr>
        <w:pStyle w:val="style0"/>
        <w:jc w:val="both"/>
      </w:pPr>
      <w:r>
        <w:rPr>
          <w:rFonts w:ascii="Arial" w:hAnsi="Arial"/>
          <w:sz w:val="22"/>
          <w:szCs w:val="22"/>
          <w:lang w:val="en-GB"/>
        </w:rPr>
      </w:r>
    </w:p>
    <w:p>
      <w:pPr>
        <w:pStyle w:val="style0"/>
        <w:jc w:val="both"/>
      </w:pPr>
      <w:r>
        <w:rPr>
          <w:rFonts w:ascii="Arial" w:hAnsi="Arial"/>
          <w:b/>
          <w:sz w:val="22"/>
          <w:szCs w:val="22"/>
          <w:lang w:val="en-GB"/>
        </w:rPr>
        <w:t xml:space="preserve">6. </w:t>
        <w:tab/>
      </w:r>
      <w:r>
        <w:rPr>
          <w:rFonts w:ascii="Arial" w:hAnsi="Arial"/>
          <w:sz w:val="22"/>
          <w:szCs w:val="22"/>
          <w:lang w:val="en-GB"/>
        </w:rPr>
        <w:t>GROWTH MONITORING</w:t>
      </w:r>
    </w:p>
    <w:p>
      <w:pPr>
        <w:pStyle w:val="style0"/>
        <w:jc w:val="both"/>
      </w:pPr>
      <w:r>
        <w:rPr>
          <w:rFonts w:ascii="Arial" w:hAnsi="Arial"/>
          <w:sz w:val="22"/>
          <w:szCs w:val="22"/>
          <w:lang w:val="en-GB"/>
        </w:rPr>
        <w:t>The Health Surveillance Assistants continued during the year providing the following services in all the 10 growth monitoring centres around Mulanje Mission Hospital and the static clinic where they do the following activities:</w:t>
      </w:r>
    </w:p>
    <w:p>
      <w:pPr>
        <w:pStyle w:val="style0"/>
        <w:jc w:val="both"/>
      </w:pPr>
      <w:r>
        <w:rPr>
          <w:rFonts w:ascii="Arial" w:hAnsi="Arial"/>
          <w:sz w:val="22"/>
          <w:szCs w:val="22"/>
          <w:lang w:val="en-GB"/>
        </w:rPr>
      </w:r>
    </w:p>
    <w:p>
      <w:pPr>
        <w:pStyle w:val="style0"/>
        <w:numPr>
          <w:ilvl w:val="0"/>
          <w:numId w:val="2"/>
        </w:numPr>
        <w:jc w:val="both"/>
      </w:pPr>
      <w:r>
        <w:rPr>
          <w:rFonts w:ascii="Arial" w:hAnsi="Arial"/>
          <w:sz w:val="22"/>
          <w:szCs w:val="22"/>
          <w:lang w:val="en-GB"/>
        </w:rPr>
        <w:t xml:space="preserve">Weighing of children under the age of five </w:t>
      </w:r>
    </w:p>
    <w:p>
      <w:pPr>
        <w:pStyle w:val="style0"/>
        <w:ind w:hanging="0" w:left="420" w:right="0"/>
        <w:jc w:val="both"/>
      </w:pPr>
      <w:r>
        <w:rPr>
          <w:rFonts w:ascii="Arial" w:hAnsi="Arial"/>
          <w:sz w:val="22"/>
          <w:szCs w:val="22"/>
          <w:lang w:val="en-GB"/>
        </w:rPr>
      </w:r>
    </w:p>
    <w:p>
      <w:pPr>
        <w:pStyle w:val="style0"/>
        <w:keepNext/>
        <w:ind w:hanging="0" w:left="780" w:right="0"/>
        <w:jc w:val="both"/>
      </w:pPr>
      <w:r>
        <w:rPr/>
        <w:drawing>
          <wp:inline distB="0" distL="0" distR="0" distT="0">
            <wp:extent cx="1761490" cy="1894840"/>
            <wp:effectExtent b="0" l="0" r="0" t="0"/>
            <wp:docPr descr="F:\DCIM\100MSDCF\DSC03077.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DCIM\100MSDCF\DSC03077.JPG" id="2" name="Picture"/>
                    <pic:cNvPicPr>
                      <a:picLocks noChangeArrowheads="1" noChangeAspect="1"/>
                    </pic:cNvPicPr>
                  </pic:nvPicPr>
                  <pic:blipFill>
                    <a:blip r:embed="rId4"/>
                    <a:srcRect/>
                    <a:stretch>
                      <a:fillRect/>
                    </a:stretch>
                  </pic:blipFill>
                  <pic:spPr bwMode="auto">
                    <a:xfrm>
                      <a:off x="0" y="0"/>
                      <a:ext cx="1761490" cy="1894840"/>
                    </a:xfrm>
                    <a:prstGeom prst="rect">
                      <a:avLst/>
                    </a:prstGeom>
                    <a:noFill/>
                    <a:ln w="9525">
                      <a:noFill/>
                      <a:miter lim="800000"/>
                      <a:headEnd/>
                      <a:tailEnd/>
                    </a:ln>
                  </pic:spPr>
                </pic:pic>
              </a:graphicData>
            </a:graphic>
          </wp:inline>
        </w:drawing>
      </w:r>
    </w:p>
    <w:p>
      <w:pPr>
        <w:pStyle w:val="style36"/>
        <w:jc w:val="both"/>
      </w:pPr>
      <w:r>
        <w:rPr>
          <w:rFonts w:ascii="Arial" w:hAnsi="Arial"/>
          <w:sz w:val="22"/>
          <w:szCs w:val="22"/>
        </w:rPr>
        <w:t xml:space="preserve">        </w:t>
      </w:r>
      <w:r>
        <w:rPr>
          <w:rFonts w:ascii="Arial" w:hAnsi="Arial"/>
          <w:sz w:val="22"/>
          <w:szCs w:val="22"/>
        </w:rPr>
        <w:t xml:space="preserve">Figure </w:t>
      </w:r>
      <w:r>
        <w:rPr>
          <w:rFonts w:ascii="Arial" w:hAnsi="Arial"/>
          <w:sz w:val="22"/>
          <w:szCs w:val="22"/>
        </w:rPr>
        <w:fldChar w:fldCharType="begin"/>
      </w:r>
      <w:r>
        <w:instrText> SEQ "Figure" \*Arabic </w:instrText>
      </w:r>
      <w:r>
        <w:fldChar w:fldCharType="separate"/>
      </w:r>
      <w:r>
        <w:t>1</w:t>
      </w:r>
      <w:r>
        <w:fldChar w:fldCharType="end"/>
      </w:r>
      <w:r>
        <w:rPr>
          <w:rFonts w:ascii="Arial" w:hAnsi="Arial"/>
          <w:sz w:val="22"/>
          <w:szCs w:val="22"/>
        </w:rPr>
        <w:t xml:space="preserve"> PHC nurse weighing a child</w:t>
      </w:r>
    </w:p>
    <w:p>
      <w:pPr>
        <w:pStyle w:val="style0"/>
        <w:numPr>
          <w:ilvl w:val="0"/>
          <w:numId w:val="2"/>
        </w:numPr>
        <w:jc w:val="both"/>
      </w:pPr>
      <w:r>
        <w:rPr>
          <w:rFonts w:ascii="Arial" w:hAnsi="Arial"/>
          <w:sz w:val="22"/>
          <w:szCs w:val="22"/>
          <w:lang w:val="en-GB"/>
        </w:rPr>
        <w:t>Screening of children for various diseases and other health related problems.</w:t>
      </w:r>
    </w:p>
    <w:p>
      <w:pPr>
        <w:pStyle w:val="style0"/>
        <w:numPr>
          <w:ilvl w:val="0"/>
          <w:numId w:val="2"/>
        </w:numPr>
        <w:jc w:val="both"/>
      </w:pPr>
      <w:r>
        <w:rPr>
          <w:rFonts w:ascii="Arial" w:hAnsi="Arial"/>
          <w:sz w:val="22"/>
          <w:szCs w:val="22"/>
          <w:lang w:val="en-GB"/>
        </w:rPr>
        <w:t>Immunization of children against six killer diseases.</w:t>
      </w:r>
    </w:p>
    <w:p>
      <w:pPr>
        <w:pStyle w:val="style0"/>
        <w:numPr>
          <w:ilvl w:val="0"/>
          <w:numId w:val="2"/>
        </w:numPr>
        <w:jc w:val="both"/>
      </w:pPr>
      <w:r>
        <w:rPr>
          <w:rFonts w:ascii="Arial" w:hAnsi="Arial"/>
          <w:sz w:val="22"/>
          <w:szCs w:val="22"/>
          <w:lang w:val="en-GB"/>
        </w:rPr>
        <w:t>Referral of children with health problems to the hospital</w:t>
      </w:r>
    </w:p>
    <w:p>
      <w:pPr>
        <w:pStyle w:val="style0"/>
        <w:numPr>
          <w:ilvl w:val="0"/>
          <w:numId w:val="2"/>
        </w:numPr>
        <w:jc w:val="both"/>
      </w:pPr>
      <w:r>
        <w:rPr>
          <w:rFonts w:ascii="Arial" w:hAnsi="Arial"/>
          <w:sz w:val="22"/>
          <w:szCs w:val="22"/>
          <w:lang w:val="en-GB"/>
        </w:rPr>
        <w:t xml:space="preserve"> </w:t>
      </w:r>
      <w:r>
        <w:rPr>
          <w:rFonts w:ascii="Arial" w:hAnsi="Arial"/>
          <w:sz w:val="22"/>
          <w:szCs w:val="22"/>
          <w:lang w:val="en-GB"/>
        </w:rPr>
        <w:t>Health education on various health issues.</w:t>
      </w:r>
    </w:p>
    <w:p>
      <w:pPr>
        <w:pStyle w:val="style0"/>
        <w:jc w:val="both"/>
      </w:pPr>
      <w:r>
        <w:rPr>
          <w:rFonts w:ascii="Arial" w:hAnsi="Arial"/>
          <w:sz w:val="22"/>
          <w:szCs w:val="22"/>
          <w:lang w:val="en-GB"/>
        </w:rPr>
      </w:r>
    </w:p>
    <w:tbl>
      <w:tblPr>
        <w:jc w:val="left"/>
        <w:tblInd w:type="dxa" w:w="25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3544"/>
        <w:gridCol w:w="1984"/>
        <w:gridCol w:w="2268"/>
      </w:tblGrid>
      <w:tr>
        <w:trPr>
          <w:cantSplit w:val="false"/>
        </w:trPr>
        <w:tc>
          <w:tcPr>
            <w:tcW w:type="dxa" w:w="35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r>
          </w:p>
        </w:tc>
        <w:tc>
          <w:tcPr>
            <w:tcW w:type="dxa" w:w="1984"/>
            <w:gridSpan w:val="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pPr>
            <w:r>
              <w:rPr>
                <w:rFonts w:ascii="Arial" w:hAnsi="Arial"/>
                <w:b/>
                <w:sz w:val="22"/>
                <w:szCs w:val="22"/>
              </w:rPr>
              <w:t>NRU</w:t>
            </w:r>
          </w:p>
          <w:p>
            <w:pPr>
              <w:pStyle w:val="style0"/>
              <w:jc w:val="center"/>
            </w:pPr>
            <w:r>
              <w:rPr>
                <w:rFonts w:ascii="Arial" w:hAnsi="Arial"/>
                <w:b/>
                <w:sz w:val="22"/>
                <w:szCs w:val="22"/>
              </w:rPr>
            </w:r>
          </w:p>
        </w:tc>
        <w:tc>
          <w:tcPr>
            <w:tcW w:type="dxa" w:w="2268"/>
            <w:gridSpan w:val="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pPr>
            <w:r>
              <w:rPr>
                <w:rFonts w:ascii="Arial" w:hAnsi="Arial"/>
                <w:b/>
                <w:sz w:val="22"/>
                <w:szCs w:val="22"/>
              </w:rPr>
              <w:t>SUPPLEMENTARY</w:t>
            </w:r>
          </w:p>
          <w:p>
            <w:pPr>
              <w:pStyle w:val="style0"/>
              <w:jc w:val="center"/>
            </w:pPr>
            <w:r>
              <w:rPr>
                <w:rFonts w:ascii="Arial" w:hAnsi="Arial"/>
                <w:b/>
                <w:sz w:val="22"/>
                <w:szCs w:val="22"/>
              </w:rPr>
              <w:t>FEEDING</w:t>
            </w:r>
          </w:p>
        </w:tc>
      </w:tr>
      <w:tr>
        <w:trPr>
          <w:cantSplit w:val="false"/>
        </w:trPr>
        <w:tc>
          <w:tcPr>
            <w:tcW w:type="dxa" w:w="35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GROWTH MONITORING (at NRU)</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2012-13</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2013-14</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2012-13</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2013-14</w:t>
            </w:r>
          </w:p>
        </w:tc>
      </w:tr>
      <w:tr>
        <w:trPr>
          <w:trHeight w:hRule="atLeast" w:val="166"/>
          <w:cantSplit w:val="false"/>
        </w:trPr>
        <w:tc>
          <w:tcPr>
            <w:tcW w:type="dxa" w:w="35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Normal weight</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64</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43</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rPr>
              <w:t>134</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rPr>
              <w:t>138</w:t>
            </w:r>
          </w:p>
        </w:tc>
      </w:tr>
      <w:tr>
        <w:trPr>
          <w:cantSplit w:val="false"/>
        </w:trPr>
        <w:tc>
          <w:tcPr>
            <w:tcW w:type="dxa" w:w="35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Malnourished</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70</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56</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rPr>
              <w:t>152</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rPr>
              <w:t>176</w:t>
            </w:r>
          </w:p>
        </w:tc>
      </w:tr>
      <w:tr>
        <w:trPr>
          <w:cantSplit w:val="false"/>
        </w:trPr>
        <w:tc>
          <w:tcPr>
            <w:tcW w:type="dxa" w:w="35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Total</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134</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99</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rPr>
              <w:t>286</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rPr>
              <w:t>314</w:t>
            </w:r>
          </w:p>
        </w:tc>
      </w:tr>
      <w:tr>
        <w:trPr>
          <w:cantSplit w:val="false"/>
        </w:trPr>
        <w:tc>
          <w:tcPr>
            <w:tcW w:type="dxa" w:w="35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 Malnourished</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52</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57</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53</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56</w:t>
            </w:r>
          </w:p>
        </w:tc>
      </w:tr>
    </w:tbl>
    <w:p>
      <w:pPr>
        <w:pStyle w:val="style0"/>
        <w:jc w:val="both"/>
      </w:pPr>
      <w:r>
        <w:rPr>
          <w:rFonts w:ascii="Arial" w:hAnsi="Arial"/>
          <w:sz w:val="22"/>
          <w:szCs w:val="22"/>
          <w:lang w:val="en-GB"/>
        </w:rPr>
        <w:t>Apart from the above routine activities, the department also had a child health week where children were given Vitamin A, albendazole and praziquantel. Coverage during this week was above 80%.  We also had a week where we were administering mectizan and albendazole to control River blindness (onchocerciasis).</w:t>
      </w:r>
    </w:p>
    <w:p>
      <w:pPr>
        <w:pStyle w:val="style0"/>
        <w:jc w:val="both"/>
      </w:pPr>
      <w:r>
        <w:rPr>
          <w:rFonts w:ascii="Arial" w:hAnsi="Arial"/>
          <w:sz w:val="22"/>
          <w:szCs w:val="22"/>
          <w:lang w:val="en-GB"/>
        </w:rPr>
      </w:r>
    </w:p>
    <w:p>
      <w:pPr>
        <w:pStyle w:val="style0"/>
        <w:jc w:val="both"/>
      </w:pPr>
      <w:r>
        <w:rPr>
          <w:rFonts w:ascii="Arial" w:hAnsi="Arial"/>
          <w:b/>
          <w:sz w:val="22"/>
          <w:szCs w:val="22"/>
          <w:lang w:val="en-GB"/>
        </w:rPr>
        <w:t>Outreach clinics</w:t>
      </w:r>
    </w:p>
    <w:p>
      <w:pPr>
        <w:pStyle w:val="style0"/>
        <w:jc w:val="both"/>
      </w:pPr>
      <w:r>
        <w:rPr>
          <w:rFonts w:ascii="Arial" w:hAnsi="Arial"/>
          <w:b/>
          <w:sz w:val="22"/>
          <w:szCs w:val="22"/>
          <w:lang w:val="en-GB"/>
        </w:rPr>
      </w:r>
    </w:p>
    <w:p>
      <w:pPr>
        <w:pStyle w:val="style0"/>
        <w:jc w:val="both"/>
      </w:pPr>
      <w:r>
        <w:rPr>
          <w:rFonts w:ascii="Arial" w:hAnsi="Arial"/>
          <w:sz w:val="22"/>
          <w:szCs w:val="22"/>
          <w:lang w:val="en-GB"/>
        </w:rPr>
        <w:t>We have 12 outreach clinics where we do under five children screening, weighing and immunisation; we also do antenatal care, HIV testing, ART and health education. We are fortunate to have proper clinic structures which help us to carry out all these activities in the community.</w:t>
      </w:r>
    </w:p>
    <w:p>
      <w:pPr>
        <w:pStyle w:val="style0"/>
        <w:jc w:val="both"/>
      </w:pPr>
      <w:r>
        <w:rPr>
          <w:rFonts w:ascii="Arial" w:hAnsi="Arial"/>
          <w:b/>
          <w:color w:val="FF6600"/>
          <w:sz w:val="22"/>
          <w:szCs w:val="22"/>
          <w:lang w:val="en-GB"/>
        </w:rPr>
      </w:r>
    </w:p>
    <w:p>
      <w:pPr>
        <w:pStyle w:val="style0"/>
        <w:jc w:val="both"/>
      </w:pPr>
      <w:r>
        <w:rPr>
          <w:rFonts w:ascii="Arial" w:hAnsi="Arial"/>
          <w:b/>
          <w:sz w:val="22"/>
          <w:szCs w:val="22"/>
          <w:lang w:val="en-GB"/>
        </w:rPr>
        <w:t xml:space="preserve">7. </w:t>
        <w:tab/>
        <w:t>DISEASE SURVEILLANCE AND CONTROL</w:t>
      </w:r>
    </w:p>
    <w:p>
      <w:pPr>
        <w:pStyle w:val="style0"/>
        <w:jc w:val="both"/>
      </w:pPr>
      <w:r>
        <w:rPr>
          <w:rFonts w:ascii="Arial" w:hAnsi="Arial"/>
          <w:b/>
          <w:sz w:val="22"/>
          <w:szCs w:val="22"/>
          <w:lang w:val="en-GB"/>
        </w:rPr>
      </w:r>
    </w:p>
    <w:p>
      <w:pPr>
        <w:pStyle w:val="style0"/>
        <w:jc w:val="both"/>
      </w:pPr>
      <w:r>
        <w:rPr>
          <w:rFonts w:ascii="Arial" w:hAnsi="Arial"/>
          <w:sz w:val="22"/>
          <w:szCs w:val="22"/>
        </w:rPr>
        <w:t>In our quest to check and control diseases in our catchment area, the PHC department has more than one thousand health volunteers. These volunteers report to HSAs for mentorship. Whenever we have an outbreak, it is quickly reported by these volunteers. We make sure that all our volunteers are trained and know what they are doing when working in their communities.</w:t>
      </w:r>
    </w:p>
    <w:p>
      <w:pPr>
        <w:pStyle w:val="style0"/>
        <w:jc w:val="both"/>
      </w:pPr>
      <w:r>
        <w:rPr>
          <w:rFonts w:ascii="Arial" w:hAnsi="Arial"/>
          <w:sz w:val="22"/>
          <w:szCs w:val="22"/>
        </w:rPr>
        <w:drawing>
          <wp:anchor allowOverlap="1" behindDoc="0" distB="0" distL="0" distR="0" distT="0" layoutInCell="1" locked="0" relativeHeight="1" simplePos="0">
            <wp:simplePos x="0" y="0"/>
            <wp:positionH relativeFrom="character">
              <wp:posOffset>1846580</wp:posOffset>
            </wp:positionH>
            <wp:positionV relativeFrom="line">
              <wp:posOffset>146050</wp:posOffset>
            </wp:positionV>
            <wp:extent cx="2299970" cy="1723390"/>
            <wp:effectExtent b="0" l="0" r="0" t="0"/>
            <wp:wrapSquare wrapText="bothSides"/>
            <wp:docPr descr="F:\DCIM\100MSDCF\DSC03016.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DCIM\100MSDCF\DSC03016.JPG" id="3" name="Picture"/>
                    <pic:cNvPicPr>
                      <a:picLocks noChangeArrowheads="1" noChangeAspect="1"/>
                    </pic:cNvPicPr>
                  </pic:nvPicPr>
                  <pic:blipFill>
                    <a:blip r:embed="rId5"/>
                    <a:srcRect/>
                    <a:stretch>
                      <a:fillRect/>
                    </a:stretch>
                  </pic:blipFill>
                  <pic:spPr bwMode="auto">
                    <a:xfrm>
                      <a:off x="0" y="0"/>
                      <a:ext cx="2299970" cy="1723390"/>
                    </a:xfrm>
                    <a:prstGeom prst="rect">
                      <a:avLst/>
                    </a:prstGeom>
                    <a:noFill/>
                    <a:ln w="9525">
                      <a:noFill/>
                      <a:miter lim="800000"/>
                      <a:headEnd/>
                      <a:tailEnd/>
                    </a:ln>
                  </pic:spPr>
                </pic:pic>
              </a:graphicData>
            </a:graphic>
          </wp:anchor>
        </w:drawing>
      </w:r>
    </w:p>
    <w:p>
      <w:pPr>
        <w:pStyle w:val="style0"/>
        <w:keepNext/>
        <w:jc w:val="both"/>
      </w:pPr>
      <w:r>
        <w:rPr>
          <w:rFonts w:ascii="Arial" w:hAnsi="Arial"/>
          <w:sz w:val="22"/>
          <w:szCs w:val="22"/>
        </w:rPr>
      </w:r>
    </w:p>
    <w:p>
      <w:pPr>
        <w:pStyle w:val="style36"/>
        <w:jc w:val="both"/>
      </w:pPr>
      <w:r>
        <w:rPr>
          <w:rFonts w:ascii="Arial" w:hAnsi="Arial"/>
          <w:sz w:val="22"/>
          <w:szCs w:val="22"/>
        </w:rPr>
      </w:r>
    </w:p>
    <w:p>
      <w:pPr>
        <w:pStyle w:val="style36"/>
        <w:jc w:val="both"/>
      </w:pPr>
      <w:r>
        <w:rPr>
          <w:rFonts w:ascii="Arial" w:hAnsi="Arial"/>
          <w:sz w:val="22"/>
          <w:szCs w:val="22"/>
        </w:rPr>
      </w:r>
    </w:p>
    <w:p>
      <w:pPr>
        <w:pStyle w:val="style36"/>
        <w:jc w:val="both"/>
      </w:pPr>
      <w:r>
        <w:rPr>
          <w:rFonts w:ascii="Arial" w:hAnsi="Arial"/>
          <w:sz w:val="22"/>
          <w:szCs w:val="22"/>
        </w:rPr>
      </w:r>
    </w:p>
    <w:p>
      <w:pPr>
        <w:pStyle w:val="style36"/>
        <w:jc w:val="both"/>
      </w:pPr>
      <w:r>
        <w:rPr>
          <w:rFonts w:ascii="Arial" w:hAnsi="Arial"/>
          <w:sz w:val="22"/>
          <w:szCs w:val="22"/>
        </w:rPr>
      </w:r>
    </w:p>
    <w:p>
      <w:pPr>
        <w:pStyle w:val="style36"/>
        <w:jc w:val="both"/>
      </w:pPr>
      <w:r>
        <w:rPr>
          <w:rFonts w:ascii="Arial" w:hAnsi="Arial"/>
          <w:sz w:val="22"/>
          <w:szCs w:val="22"/>
        </w:rPr>
      </w:r>
    </w:p>
    <w:p>
      <w:pPr>
        <w:pStyle w:val="style36"/>
        <w:jc w:val="both"/>
      </w:pPr>
      <w:r>
        <w:rPr>
          <w:rFonts w:ascii="Arial" w:hAnsi="Arial"/>
          <w:sz w:val="22"/>
          <w:szCs w:val="22"/>
        </w:rPr>
      </w:r>
    </w:p>
    <w:p>
      <w:pPr>
        <w:pStyle w:val="style36"/>
        <w:jc w:val="both"/>
      </w:pPr>
      <w:r>
        <w:rPr>
          <w:rFonts w:ascii="Arial" w:hAnsi="Arial"/>
          <w:sz w:val="22"/>
          <w:szCs w:val="22"/>
        </w:rPr>
        <w:t xml:space="preserve">                                              </w:t>
      </w:r>
      <w:r>
        <w:rPr>
          <w:rFonts w:ascii="Arial" w:hAnsi="Arial"/>
          <w:sz w:val="22"/>
          <w:szCs w:val="22"/>
        </w:rPr>
        <w:t xml:space="preserve">Figure </w:t>
      </w:r>
      <w:r>
        <w:rPr>
          <w:rFonts w:ascii="Arial" w:hAnsi="Arial"/>
          <w:sz w:val="22"/>
          <w:szCs w:val="22"/>
        </w:rPr>
        <w:fldChar w:fldCharType="begin"/>
      </w:r>
      <w:r>
        <w:instrText> SEQ "Figure" \*Arabic </w:instrText>
      </w:r>
      <w:r>
        <w:fldChar w:fldCharType="separate"/>
      </w:r>
      <w:r>
        <w:t>2</w:t>
      </w:r>
      <w:r>
        <w:fldChar w:fldCharType="end"/>
      </w:r>
      <w:r>
        <w:rPr>
          <w:rFonts w:ascii="Arial" w:hAnsi="Arial"/>
          <w:sz w:val="22"/>
          <w:szCs w:val="22"/>
        </w:rPr>
        <w:t xml:space="preserve">  Community Nurse training some volunteers</w:t>
      </w:r>
    </w:p>
    <w:p>
      <w:pPr>
        <w:pStyle w:val="style0"/>
        <w:jc w:val="both"/>
      </w:pPr>
      <w:r>
        <w:rPr>
          <w:rFonts w:ascii="Arial" w:hAnsi="Arial"/>
          <w:sz w:val="22"/>
          <w:szCs w:val="22"/>
        </w:rPr>
        <w:t>The biggest activity this year was malaria control through Indoor residual spraying. When we compared sprayed and unsprayed villages, it showed that this intervention is working because random blood testing for malaria parasites showed that in unsprayed villages 70% were positive, while only 20% were positive in sprayed villages.</w:t>
      </w:r>
    </w:p>
    <w:p>
      <w:pPr>
        <w:pStyle w:val="style2"/>
        <w:ind w:hanging="0" w:left="0" w:right="0"/>
        <w:jc w:val="both"/>
      </w:pPr>
      <w:r>
        <w:rPr>
          <w:rFonts w:ascii="Arial" w:hAnsi="Arial"/>
          <w:i/>
          <w:sz w:val="22"/>
          <w:szCs w:val="22"/>
        </w:rPr>
      </w:r>
    </w:p>
    <w:p>
      <w:pPr>
        <w:pStyle w:val="style2"/>
        <w:ind w:hanging="0" w:left="0" w:right="0"/>
        <w:jc w:val="both"/>
      </w:pPr>
      <w:bookmarkStart w:id="2" w:name="_Toc113883273"/>
      <w:bookmarkEnd w:id="2"/>
      <w:r>
        <w:rPr>
          <w:rFonts w:ascii="Arial" w:hAnsi="Arial"/>
          <w:bCs/>
          <w:sz w:val="22"/>
          <w:szCs w:val="22"/>
          <w:u w:val="none"/>
        </w:rPr>
        <w:t>8.</w:t>
        <w:tab/>
        <w:t>MOTHER AND CHILD HEALTH</w:t>
      </w:r>
    </w:p>
    <w:p>
      <w:pPr>
        <w:pStyle w:val="style0"/>
        <w:ind w:firstLine="720" w:left="0" w:right="0"/>
        <w:jc w:val="both"/>
      </w:pPr>
      <w:r>
        <w:rPr>
          <w:rFonts w:ascii="Arial" w:hAnsi="Arial"/>
          <w:sz w:val="22"/>
          <w:szCs w:val="22"/>
          <w:u w:val="single"/>
        </w:rPr>
      </w:r>
    </w:p>
    <w:p>
      <w:pPr>
        <w:pStyle w:val="style0"/>
        <w:jc w:val="both"/>
      </w:pPr>
      <w:r>
        <w:rPr>
          <w:rFonts w:ascii="Arial" w:hAnsi="Arial"/>
          <w:sz w:val="22"/>
          <w:szCs w:val="22"/>
        </w:rPr>
        <w:t>A total of 27,305 children less than 5 years were screened during the reporting year. Of these, 26,002 had normal weight and 1,303 (4.8%)  were under weight. Table below shows immunization figures.</w:t>
      </w:r>
    </w:p>
    <w:p>
      <w:pPr>
        <w:pStyle w:val="style0"/>
        <w:jc w:val="both"/>
      </w:pPr>
      <w:r>
        <w:rPr>
          <w:rFonts w:ascii="Arial" w:hAnsi="Arial"/>
          <w:sz w:val="22"/>
          <w:szCs w:val="22"/>
        </w:rPr>
      </w:r>
    </w:p>
    <w:p>
      <w:pPr>
        <w:pStyle w:val="style0"/>
        <w:jc w:val="both"/>
      </w:pPr>
      <w:r>
        <w:rPr>
          <w:rFonts w:ascii="Arial" w:hAnsi="Arial"/>
          <w:sz w:val="22"/>
          <w:szCs w:val="22"/>
        </w:rPr>
        <w:tab/>
      </w:r>
    </w:p>
    <w:tbl>
      <w:tblPr>
        <w:jc w:val="left"/>
        <w:tblInd w:type="dxa" w:w="1384"/>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2693"/>
        <w:gridCol w:w="1842"/>
      </w:tblGrid>
      <w:tr>
        <w:trPr>
          <w:cantSplit w:val="false"/>
        </w:trPr>
        <w:tc>
          <w:tcPr>
            <w:tcW w:type="dxa" w:w="26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IMMUNIZATION</w:t>
            </w:r>
          </w:p>
          <w:p>
            <w:pPr>
              <w:pStyle w:val="style0"/>
              <w:jc w:val="both"/>
            </w:pPr>
            <w:r>
              <w:rPr>
                <w:rFonts w:ascii="Arial" w:hAnsi="Arial"/>
                <w:b/>
                <w:sz w:val="22"/>
                <w:szCs w:val="22"/>
              </w:rPr>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2013-2014</w:t>
            </w:r>
          </w:p>
        </w:tc>
      </w:tr>
      <w:tr>
        <w:trPr>
          <w:cantSplit w:val="false"/>
        </w:trPr>
        <w:tc>
          <w:tcPr>
            <w:tcW w:type="dxa" w:w="26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BCG</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2682</w:t>
            </w:r>
          </w:p>
        </w:tc>
      </w:tr>
      <w:tr>
        <w:trPr>
          <w:cantSplit w:val="false"/>
        </w:trPr>
        <w:tc>
          <w:tcPr>
            <w:tcW w:type="dxa" w:w="26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DPT – HEP B and HIB</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6462</w:t>
            </w:r>
          </w:p>
        </w:tc>
      </w:tr>
      <w:tr>
        <w:trPr>
          <w:cantSplit w:val="false"/>
        </w:trPr>
        <w:tc>
          <w:tcPr>
            <w:tcW w:type="dxa" w:w="26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POLIO</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2245</w:t>
            </w:r>
          </w:p>
        </w:tc>
      </w:tr>
      <w:tr>
        <w:trPr>
          <w:cantSplit w:val="false"/>
        </w:trPr>
        <w:tc>
          <w:tcPr>
            <w:tcW w:type="dxa" w:w="26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MEASLES</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2449</w:t>
            </w:r>
          </w:p>
        </w:tc>
      </w:tr>
      <w:tr>
        <w:trPr>
          <w:cantSplit w:val="false"/>
        </w:trPr>
        <w:tc>
          <w:tcPr>
            <w:tcW w:type="dxa" w:w="26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PCV</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6733</w:t>
            </w:r>
          </w:p>
        </w:tc>
      </w:tr>
      <w:tr>
        <w:trPr>
          <w:cantSplit w:val="false"/>
        </w:trPr>
        <w:tc>
          <w:tcPr>
            <w:tcW w:type="dxa" w:w="26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rPr>
              <w:t>Rota</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rPr>
              <w:t>4642</w:t>
            </w:r>
          </w:p>
        </w:tc>
      </w:tr>
    </w:tbl>
    <w:p>
      <w:pPr>
        <w:pStyle w:val="style0"/>
        <w:jc w:val="both"/>
      </w:pPr>
      <w:r>
        <w:rPr>
          <w:rFonts w:ascii="Arial" w:hAnsi="Arial"/>
          <w:b/>
          <w:bCs/>
          <w:sz w:val="22"/>
          <w:szCs w:val="22"/>
        </w:rPr>
        <w:tab/>
      </w:r>
    </w:p>
    <w:p>
      <w:pPr>
        <w:pStyle w:val="style0"/>
        <w:jc w:val="both"/>
      </w:pPr>
      <w:r>
        <w:rPr>
          <w:rFonts w:ascii="Arial" w:hAnsi="Arial"/>
          <w:bCs/>
          <w:sz w:val="22"/>
          <w:szCs w:val="22"/>
        </w:rPr>
        <w:t>We saw good coverage on the number of fully immunized children because out of the targeted 2465, 2437 were fully immunized which gives us a 99% coverage.</w:t>
      </w:r>
    </w:p>
    <w:p>
      <w:pPr>
        <w:pStyle w:val="style0"/>
        <w:jc w:val="both"/>
      </w:pPr>
      <w:r>
        <w:rPr>
          <w:rFonts w:ascii="Arial" w:hAnsi="Arial"/>
          <w:bCs/>
          <w:sz w:val="22"/>
          <w:szCs w:val="22"/>
        </w:rPr>
        <w:t xml:space="preserve">The Table below shows the number of women receiving doses of TTV; </w:t>
      </w:r>
    </w:p>
    <w:p>
      <w:pPr>
        <w:pStyle w:val="style0"/>
        <w:jc w:val="both"/>
      </w:pPr>
      <w:r>
        <w:rPr>
          <w:rFonts w:ascii="Arial" w:hAnsi="Arial"/>
          <w:b/>
          <w:bCs/>
          <w:sz w:val="22"/>
          <w:szCs w:val="22"/>
        </w:rPr>
      </w:r>
    </w:p>
    <w:p>
      <w:pPr>
        <w:pStyle w:val="style0"/>
        <w:jc w:val="both"/>
      </w:pPr>
      <w:r>
        <w:rPr>
          <w:rFonts w:ascii="Arial" w:hAnsi="Arial"/>
          <w:b/>
          <w:bCs/>
          <w:sz w:val="22"/>
          <w:szCs w:val="22"/>
        </w:rPr>
        <w:t>TETANUS TOXOID</w:t>
      </w:r>
    </w:p>
    <w:tbl>
      <w:tblPr>
        <w:jc w:val="left"/>
        <w:tblInd w:type="dxa" w:w="1951"/>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1930"/>
        <w:gridCol w:w="705"/>
      </w:tblGrid>
      <w:tr>
        <w:trPr>
          <w:cantSplit w:val="false"/>
        </w:trPr>
        <w:tc>
          <w:tcPr>
            <w:tcW w:type="dxa" w:w="19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DOSE</w:t>
            </w:r>
          </w:p>
        </w:tc>
        <w:tc>
          <w:tcPr>
            <w:tcW w:type="dxa" w:w="705"/>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r>
          </w:p>
        </w:tc>
      </w:tr>
      <w:tr>
        <w:trPr>
          <w:cantSplit w:val="false"/>
        </w:trPr>
        <w:tc>
          <w:tcPr>
            <w:tcW w:type="dxa" w:w="19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TTV 1</w:t>
            </w:r>
          </w:p>
        </w:tc>
        <w:tc>
          <w:tcPr>
            <w:tcW w:type="dxa" w:w="705"/>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1735</w:t>
            </w:r>
          </w:p>
        </w:tc>
      </w:tr>
      <w:tr>
        <w:trPr>
          <w:cantSplit w:val="false"/>
        </w:trPr>
        <w:tc>
          <w:tcPr>
            <w:tcW w:type="dxa" w:w="19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TTV2</w:t>
            </w:r>
          </w:p>
        </w:tc>
        <w:tc>
          <w:tcPr>
            <w:tcW w:type="dxa" w:w="705"/>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1296</w:t>
            </w:r>
          </w:p>
        </w:tc>
      </w:tr>
      <w:tr>
        <w:trPr>
          <w:cantSplit w:val="false"/>
        </w:trPr>
        <w:tc>
          <w:tcPr>
            <w:tcW w:type="dxa" w:w="19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TTV 3</w:t>
            </w:r>
          </w:p>
        </w:tc>
        <w:tc>
          <w:tcPr>
            <w:tcW w:type="dxa" w:w="705"/>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416</w:t>
            </w:r>
          </w:p>
        </w:tc>
      </w:tr>
      <w:tr>
        <w:trPr>
          <w:cantSplit w:val="false"/>
        </w:trPr>
        <w:tc>
          <w:tcPr>
            <w:tcW w:type="dxa" w:w="19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TTV 4</w:t>
            </w:r>
          </w:p>
        </w:tc>
        <w:tc>
          <w:tcPr>
            <w:tcW w:type="dxa" w:w="705"/>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215</w:t>
            </w:r>
          </w:p>
        </w:tc>
      </w:tr>
      <w:tr>
        <w:trPr>
          <w:cantSplit w:val="false"/>
        </w:trPr>
        <w:tc>
          <w:tcPr>
            <w:tcW w:type="dxa" w:w="19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TTV 5</w:t>
            </w:r>
          </w:p>
        </w:tc>
        <w:tc>
          <w:tcPr>
            <w:tcW w:type="dxa" w:w="705"/>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121</w:t>
            </w:r>
          </w:p>
        </w:tc>
      </w:tr>
    </w:tbl>
    <w:p>
      <w:pPr>
        <w:pStyle w:val="style0"/>
        <w:jc w:val="both"/>
      </w:pPr>
      <w:r>
        <w:rPr>
          <w:rFonts w:ascii="Arial" w:hAnsi="Arial"/>
          <w:b/>
          <w:sz w:val="22"/>
          <w:szCs w:val="22"/>
        </w:rPr>
      </w:r>
    </w:p>
    <w:p>
      <w:pPr>
        <w:pStyle w:val="style0"/>
        <w:jc w:val="both"/>
      </w:pPr>
      <w:r>
        <w:rPr>
          <w:rFonts w:ascii="Arial" w:hAnsi="Arial"/>
          <w:b/>
          <w:sz w:val="22"/>
          <w:szCs w:val="22"/>
        </w:rPr>
        <w:t>ANTENATAL CARE</w:t>
      </w:r>
    </w:p>
    <w:p>
      <w:pPr>
        <w:pStyle w:val="style0"/>
        <w:jc w:val="both"/>
      </w:pPr>
      <w:r>
        <w:rPr>
          <w:rFonts w:ascii="Arial" w:hAnsi="Arial"/>
          <w:color w:val="FF6600"/>
          <w:sz w:val="22"/>
          <w:szCs w:val="22"/>
        </w:rPr>
      </w:r>
    </w:p>
    <w:p>
      <w:pPr>
        <w:pStyle w:val="style0"/>
        <w:jc w:val="both"/>
      </w:pPr>
      <w:r>
        <w:rPr>
          <w:rFonts w:ascii="Arial" w:hAnsi="Arial"/>
          <w:color w:val="FF6600"/>
          <w:sz w:val="22"/>
          <w:szCs w:val="22"/>
        </w:rPr>
      </w:r>
    </w:p>
    <w:p>
      <w:pPr>
        <w:pStyle w:val="style0"/>
      </w:pPr>
      <w:r>
        <w:rPr>
          <w:rFonts w:ascii="Arial" w:hAnsi="Arial"/>
          <w:sz w:val="22"/>
          <w:szCs w:val="22"/>
        </w:rPr>
      </w:r>
    </w:p>
    <w:tbl>
      <w:tblPr>
        <w:jc w:val="left"/>
        <w:tblInd w:type="dxa" w:w="113"/>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2694"/>
        <w:gridCol w:w="1382"/>
        <w:gridCol w:w="1702"/>
      </w:tblGrid>
      <w:tr>
        <w:trPr>
          <w:cantSplit w:val="false"/>
        </w:trPr>
        <w:tc>
          <w:tcPr>
            <w:tcW w:type="dxa" w:w="26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r>
              <w:rPr>
                <w:rFonts w:ascii="Arial" w:hAnsi="Arial"/>
                <w:b/>
                <w:bCs/>
                <w:sz w:val="22"/>
                <w:szCs w:val="22"/>
              </w:rPr>
              <w:t xml:space="preserve">ANTENATAL </w:t>
            </w:r>
          </w:p>
          <w:p>
            <w:pPr>
              <w:pStyle w:val="style0"/>
              <w:framePr w:h="23" w:hAnchor="margin" w:hRule="exact" w:hSpace="0" w:vAnchor="margin" w:vSpace="0" w:w="5778" w:wrap="around" w:xAlign="center" w:y="1"/>
              <w:pBdr>
                <w:top w:val="none"/>
                <w:left w:val="none"/>
                <w:bottom w:val="none"/>
                <w:insideH w:val="none"/>
                <w:right w:val="none"/>
                <w:insideV w:val="none"/>
              </w:pBdr>
            </w:pPr>
            <w:bookmarkStart w:id="3" w:name="__UnoMark__454_1906547576"/>
            <w:bookmarkEnd w:id="3"/>
            <w:r>
              <w:rPr>
                <w:rFonts w:ascii="Arial" w:hAnsi="Arial"/>
                <w:b/>
                <w:bCs/>
                <w:sz w:val="22"/>
                <w:szCs w:val="22"/>
              </w:rPr>
              <w:t>(new visits)</w:t>
            </w:r>
          </w:p>
        </w:tc>
        <w:tc>
          <w:tcPr>
            <w:tcW w:type="dxa" w:w="138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bookmarkStart w:id="4" w:name="__UnoMark__455_1906547576"/>
            <w:bookmarkStart w:id="5" w:name="__UnoMark__456_1906547576"/>
            <w:bookmarkEnd w:id="4"/>
            <w:bookmarkEnd w:id="5"/>
            <w:r>
              <w:rPr>
                <w:rFonts w:ascii="Arial" w:hAnsi="Arial"/>
                <w:b/>
                <w:sz w:val="22"/>
                <w:szCs w:val="22"/>
              </w:rPr>
              <w:t>2013-2014</w:t>
            </w:r>
          </w:p>
        </w:tc>
        <w:tc>
          <w:tcPr>
            <w:tcW w:type="dxa" w:w="170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bookmarkStart w:id="6" w:name="__UnoMark__457_1906547576"/>
            <w:bookmarkStart w:id="7" w:name="__UnoMark__458_1906547576"/>
            <w:bookmarkEnd w:id="6"/>
            <w:bookmarkEnd w:id="7"/>
            <w:r>
              <w:rPr>
                <w:rFonts w:ascii="Arial" w:hAnsi="Arial"/>
                <w:b/>
                <w:bCs/>
                <w:sz w:val="22"/>
                <w:szCs w:val="22"/>
              </w:rPr>
              <w:t>2012-2013</w:t>
            </w:r>
          </w:p>
        </w:tc>
      </w:tr>
      <w:tr>
        <w:trPr>
          <w:cantSplit w:val="true"/>
        </w:trPr>
        <w:tc>
          <w:tcPr>
            <w:tcW w:type="dxa" w:w="26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bookmarkStart w:id="8" w:name="__UnoMark__459_1906547576"/>
            <w:bookmarkStart w:id="9" w:name="__UnoMark__460_1906547576"/>
            <w:bookmarkEnd w:id="8"/>
            <w:bookmarkEnd w:id="9"/>
            <w:r>
              <w:rPr>
                <w:rFonts w:ascii="Arial" w:hAnsi="Arial"/>
                <w:sz w:val="22"/>
                <w:szCs w:val="22"/>
              </w:rPr>
              <w:t>In first trimester</w:t>
            </w:r>
          </w:p>
        </w:tc>
        <w:tc>
          <w:tcPr>
            <w:tcW w:type="dxa" w:w="138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bookmarkStart w:id="10" w:name="__UnoMark__461_1906547576"/>
            <w:bookmarkStart w:id="11" w:name="__UnoMark__462_1906547576"/>
            <w:bookmarkEnd w:id="10"/>
            <w:bookmarkEnd w:id="11"/>
            <w:r>
              <w:rPr>
                <w:rFonts w:ascii="Arial" w:hAnsi="Arial"/>
                <w:bCs/>
                <w:sz w:val="22"/>
                <w:szCs w:val="22"/>
              </w:rPr>
              <w:t>240</w:t>
            </w:r>
          </w:p>
        </w:tc>
        <w:tc>
          <w:tcPr>
            <w:tcW w:type="dxa" w:w="170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bookmarkStart w:id="12" w:name="__UnoMark__463_1906547576"/>
            <w:bookmarkStart w:id="13" w:name="__UnoMark__464_1906547576"/>
            <w:bookmarkEnd w:id="12"/>
            <w:bookmarkEnd w:id="13"/>
            <w:r>
              <w:rPr>
                <w:rFonts w:ascii="Arial" w:hAnsi="Arial"/>
                <w:sz w:val="22"/>
                <w:szCs w:val="22"/>
              </w:rPr>
              <w:t>236</w:t>
            </w:r>
          </w:p>
        </w:tc>
      </w:tr>
      <w:tr>
        <w:trPr>
          <w:cantSplit w:val="true"/>
        </w:trPr>
        <w:tc>
          <w:tcPr>
            <w:tcW w:type="dxa" w:w="26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bookmarkStart w:id="14" w:name="__UnoMark__465_1906547576"/>
            <w:bookmarkStart w:id="15" w:name="__UnoMark__466_1906547576"/>
            <w:bookmarkEnd w:id="14"/>
            <w:bookmarkEnd w:id="15"/>
            <w:r>
              <w:rPr>
                <w:rFonts w:ascii="Arial" w:hAnsi="Arial"/>
                <w:sz w:val="22"/>
                <w:szCs w:val="22"/>
              </w:rPr>
              <w:t>Total new antenatal visits</w:t>
            </w:r>
          </w:p>
        </w:tc>
        <w:tc>
          <w:tcPr>
            <w:tcW w:type="dxa" w:w="138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bookmarkStart w:id="16" w:name="__UnoMark__467_1906547576"/>
            <w:bookmarkStart w:id="17" w:name="__UnoMark__468_1906547576"/>
            <w:bookmarkEnd w:id="16"/>
            <w:bookmarkEnd w:id="17"/>
            <w:r>
              <w:rPr>
                <w:rFonts w:ascii="Arial" w:hAnsi="Arial"/>
                <w:bCs/>
                <w:sz w:val="22"/>
                <w:szCs w:val="22"/>
              </w:rPr>
              <w:t>2600</w:t>
            </w:r>
          </w:p>
        </w:tc>
        <w:tc>
          <w:tcPr>
            <w:tcW w:type="dxa" w:w="170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framePr w:h="23" w:hAnchor="margin" w:hRule="exact" w:hSpace="0" w:vAnchor="margin" w:vSpace="0" w:w="5778" w:wrap="around" w:xAlign="center" w:y="1"/>
              <w:pBdr>
                <w:top w:val="none"/>
                <w:left w:val="none"/>
                <w:bottom w:val="none"/>
                <w:insideH w:val="none"/>
                <w:right w:val="none"/>
                <w:insideV w:val="none"/>
              </w:pBdr>
            </w:pPr>
            <w:bookmarkStart w:id="18" w:name="__UnoMark__469_1906547576"/>
            <w:bookmarkEnd w:id="18"/>
            <w:r>
              <w:rPr>
                <w:rFonts w:ascii="Arial" w:hAnsi="Arial"/>
                <w:sz w:val="22"/>
                <w:szCs w:val="22"/>
              </w:rPr>
              <w:t>2678</w:t>
            </w:r>
          </w:p>
        </w:tc>
      </w:tr>
    </w:tbl>
    <w:p>
      <w:pPr>
        <w:pStyle w:val="style0"/>
      </w:pPr>
      <w:r>
        <w:rPr>
          <w:rFonts w:ascii="Arial" w:hAnsi="Arial"/>
          <w:sz w:val="22"/>
          <w:szCs w:val="22"/>
        </w:rPr>
      </w:r>
    </w:p>
    <w:p>
      <w:pPr>
        <w:pStyle w:val="style0"/>
      </w:pPr>
      <w:r>
        <w:rPr>
          <w:rFonts w:ascii="Arial" w:hAnsi="Arial"/>
          <w:sz w:val="22"/>
          <w:szCs w:val="22"/>
        </w:rPr>
      </w:r>
    </w:p>
    <w:p>
      <w:pPr>
        <w:pStyle w:val="style0"/>
      </w:pPr>
      <w:r>
        <w:rPr>
          <w:rFonts w:ascii="Arial" w:hAnsi="Arial"/>
          <w:sz w:val="22"/>
          <w:szCs w:val="22"/>
        </w:rPr>
      </w:r>
    </w:p>
    <w:p>
      <w:pPr>
        <w:pStyle w:val="style0"/>
      </w:pPr>
      <w:r>
        <w:rPr>
          <w:rFonts w:ascii="Arial" w:hAnsi="Arial"/>
          <w:sz w:val="22"/>
          <w:szCs w:val="22"/>
        </w:rPr>
      </w:r>
    </w:p>
    <w:p>
      <w:pPr>
        <w:pStyle w:val="style35"/>
      </w:pPr>
      <w:r>
        <w:rPr>
          <w:rFonts w:ascii="Arial" w:hAnsi="Arial"/>
          <w:color w:val="00000A"/>
          <w:sz w:val="22"/>
          <w:szCs w:val="22"/>
        </w:rPr>
      </w:r>
    </w:p>
    <w:p>
      <w:pPr>
        <w:pStyle w:val="style35"/>
      </w:pPr>
      <w:r>
        <w:rPr>
          <w:rFonts w:ascii="Arial" w:hAnsi="Arial"/>
          <w:b/>
          <w:color w:val="00000A"/>
          <w:sz w:val="22"/>
          <w:szCs w:val="22"/>
        </w:rPr>
        <w:t xml:space="preserve">9. </w:t>
        <w:tab/>
      </w:r>
      <w:r>
        <w:rPr>
          <w:rFonts w:ascii="Arial" w:hAnsi="Arial"/>
          <w:color w:val="00000A"/>
          <w:sz w:val="22"/>
          <w:szCs w:val="22"/>
        </w:rPr>
        <w:t>FAMILY PLANNING</w:t>
      </w:r>
    </w:p>
    <w:p>
      <w:pPr>
        <w:pStyle w:val="style35"/>
      </w:pPr>
      <w:r>
        <w:rPr>
          <w:rFonts w:ascii="Arial" w:hAnsi="Arial"/>
          <w:color w:val="FF6600"/>
          <w:sz w:val="22"/>
          <w:szCs w:val="22"/>
        </w:rPr>
      </w:r>
    </w:p>
    <w:p>
      <w:pPr>
        <w:pStyle w:val="style35"/>
      </w:pPr>
      <w:r>
        <w:rPr>
          <w:rFonts w:ascii="Arial" w:hAnsi="Arial"/>
          <w:color w:val="FF6600"/>
          <w:sz w:val="22"/>
          <w:szCs w:val="22"/>
        </w:rPr>
      </w:r>
    </w:p>
    <w:tbl>
      <w:tblPr>
        <w:jc w:val="left"/>
        <w:tblInd w:type="dxa" w:w="113"/>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5139"/>
      </w:tblGrid>
      <w:tr>
        <w:trPr>
          <w:cantSplit w:val="false"/>
        </w:trPr>
        <w:tc>
          <w:tcPr>
            <w:tcW w:type="dxa" w:w="5139"/>
            <w:gridSpan w:val="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19" w:name="__UnoMark__516_1906547576"/>
            <w:bookmarkEnd w:id="19"/>
            <w:r>
              <w:rPr>
                <w:rFonts w:cs="Times New Roman" w:eastAsia="Times New Roman"/>
                <w:color w:val="00000A"/>
                <w:sz w:val="20"/>
                <w:szCs w:val="20"/>
              </w:rPr>
              <w:t>METHOD</w:t>
            </w:r>
          </w:p>
        </w:tc>
      </w:tr>
      <w:tr>
        <w:trPr>
          <w:cantSplit w:val="false"/>
        </w:trPr>
        <w:tc>
          <w:tcPr>
            <w:tcW w:type="dxa" w:w="31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20" w:name="__UnoMark__517_1906547576"/>
            <w:bookmarkStart w:id="21" w:name="__UnoMark__518_1906547576"/>
            <w:bookmarkEnd w:id="20"/>
            <w:bookmarkEnd w:id="21"/>
            <w:r>
              <w:rPr>
                <w:rFonts w:cs="Times New Roman" w:eastAsia="Times New Roman"/>
                <w:color w:val="00000A"/>
                <w:sz w:val="20"/>
                <w:szCs w:val="20"/>
              </w:rPr>
              <w:t>CONDOMS</w:t>
            </w:r>
          </w:p>
        </w:tc>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22" w:name="__UnoMark__519_1906547576"/>
            <w:bookmarkStart w:id="23" w:name="__UnoMark__520_1906547576"/>
            <w:bookmarkEnd w:id="22"/>
            <w:bookmarkEnd w:id="23"/>
            <w:r>
              <w:rPr>
                <w:rFonts w:cs="Times New Roman" w:eastAsia="Times New Roman"/>
                <w:color w:val="00000A"/>
                <w:sz w:val="20"/>
                <w:szCs w:val="20"/>
              </w:rPr>
              <w:t>6,085</w:t>
            </w:r>
          </w:p>
        </w:tc>
      </w:tr>
      <w:tr>
        <w:trPr>
          <w:cantSplit w:val="false"/>
        </w:trPr>
        <w:tc>
          <w:tcPr>
            <w:tcW w:type="dxa" w:w="31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24" w:name="__UnoMark__521_1906547576"/>
            <w:bookmarkStart w:id="25" w:name="__UnoMark__522_1906547576"/>
            <w:bookmarkEnd w:id="24"/>
            <w:bookmarkEnd w:id="25"/>
            <w:r>
              <w:rPr>
                <w:rFonts w:cs="Times New Roman" w:eastAsia="Times New Roman"/>
                <w:color w:val="00000A"/>
                <w:sz w:val="20"/>
                <w:szCs w:val="20"/>
              </w:rPr>
              <w:t>ORAL CONTRACEPTIVES</w:t>
            </w:r>
          </w:p>
        </w:tc>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26" w:name="__UnoMark__523_1906547576"/>
            <w:bookmarkStart w:id="27" w:name="__UnoMark__524_1906547576"/>
            <w:bookmarkEnd w:id="26"/>
            <w:bookmarkEnd w:id="27"/>
            <w:r>
              <w:rPr>
                <w:rFonts w:cs="Times New Roman" w:eastAsia="Times New Roman"/>
                <w:color w:val="00000A"/>
                <w:sz w:val="20"/>
                <w:szCs w:val="20"/>
              </w:rPr>
              <w:t>660</w:t>
            </w:r>
          </w:p>
        </w:tc>
      </w:tr>
      <w:tr>
        <w:trPr>
          <w:cantSplit w:val="false"/>
        </w:trPr>
        <w:tc>
          <w:tcPr>
            <w:tcW w:type="dxa" w:w="31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28" w:name="__UnoMark__525_1906547576"/>
            <w:bookmarkStart w:id="29" w:name="__UnoMark__526_1906547576"/>
            <w:bookmarkEnd w:id="28"/>
            <w:bookmarkEnd w:id="29"/>
            <w:r>
              <w:rPr>
                <w:rFonts w:cs="Times New Roman" w:eastAsia="Times New Roman"/>
                <w:color w:val="00000A"/>
                <w:sz w:val="20"/>
                <w:szCs w:val="20"/>
              </w:rPr>
              <w:t>DEPO-PROVERA</w:t>
            </w:r>
          </w:p>
        </w:tc>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30" w:name="__UnoMark__527_1906547576"/>
            <w:bookmarkStart w:id="31" w:name="__UnoMark__528_1906547576"/>
            <w:bookmarkEnd w:id="30"/>
            <w:bookmarkEnd w:id="31"/>
            <w:r>
              <w:rPr>
                <w:rFonts w:cs="Times New Roman" w:eastAsia="Times New Roman"/>
                <w:color w:val="00000A"/>
                <w:sz w:val="20"/>
                <w:szCs w:val="20"/>
              </w:rPr>
              <w:t>14,072</w:t>
            </w:r>
          </w:p>
        </w:tc>
      </w:tr>
      <w:tr>
        <w:trPr>
          <w:cantSplit w:val="false"/>
        </w:trPr>
        <w:tc>
          <w:tcPr>
            <w:tcW w:type="dxa" w:w="31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32" w:name="__UnoMark__529_1906547576"/>
            <w:bookmarkStart w:id="33" w:name="__UnoMark__530_1906547576"/>
            <w:bookmarkEnd w:id="32"/>
            <w:bookmarkEnd w:id="33"/>
            <w:r>
              <w:rPr>
                <w:rFonts w:cs="Times New Roman" w:eastAsia="Times New Roman"/>
                <w:color w:val="00000A"/>
                <w:sz w:val="20"/>
                <w:szCs w:val="20"/>
              </w:rPr>
              <w:t>IUCD</w:t>
            </w:r>
          </w:p>
        </w:tc>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34" w:name="__UnoMark__531_1906547576"/>
            <w:bookmarkStart w:id="35" w:name="__UnoMark__532_1906547576"/>
            <w:bookmarkEnd w:id="34"/>
            <w:bookmarkEnd w:id="35"/>
            <w:r>
              <w:rPr>
                <w:rFonts w:cs="Times New Roman" w:eastAsia="Times New Roman"/>
                <w:color w:val="00000A"/>
                <w:sz w:val="20"/>
                <w:szCs w:val="20"/>
              </w:rPr>
              <w:t>4</w:t>
            </w:r>
          </w:p>
        </w:tc>
      </w:tr>
      <w:tr>
        <w:trPr>
          <w:cantSplit w:val="false"/>
        </w:trPr>
        <w:tc>
          <w:tcPr>
            <w:tcW w:type="dxa" w:w="31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36" w:name="__UnoMark__533_1906547576"/>
            <w:bookmarkStart w:id="37" w:name="__UnoMark__534_1906547576"/>
            <w:bookmarkEnd w:id="36"/>
            <w:bookmarkEnd w:id="37"/>
            <w:r>
              <w:rPr>
                <w:rFonts w:cs="Times New Roman" w:eastAsia="Times New Roman"/>
                <w:color w:val="00000A"/>
                <w:sz w:val="20"/>
                <w:szCs w:val="20"/>
              </w:rPr>
              <w:t>Inplant insertions</w:t>
            </w:r>
          </w:p>
        </w:tc>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38" w:name="__UnoMark__535_1906547576"/>
            <w:bookmarkStart w:id="39" w:name="__UnoMark__536_1906547576"/>
            <w:bookmarkEnd w:id="38"/>
            <w:bookmarkEnd w:id="39"/>
            <w:r>
              <w:rPr>
                <w:rFonts w:cs="Times New Roman" w:eastAsia="Times New Roman"/>
                <w:color w:val="00000A"/>
                <w:sz w:val="20"/>
                <w:szCs w:val="20"/>
              </w:rPr>
              <w:t>101</w:t>
            </w:r>
          </w:p>
        </w:tc>
      </w:tr>
      <w:tr>
        <w:trPr>
          <w:cantSplit w:val="false"/>
        </w:trPr>
        <w:tc>
          <w:tcPr>
            <w:tcW w:type="dxa" w:w="31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40" w:name="__UnoMark__537_1906547576"/>
            <w:bookmarkStart w:id="41" w:name="__UnoMark__538_1906547576"/>
            <w:bookmarkEnd w:id="40"/>
            <w:bookmarkEnd w:id="41"/>
            <w:r>
              <w:rPr>
                <w:rFonts w:cs="Times New Roman" w:eastAsia="Times New Roman"/>
                <w:color w:val="00000A"/>
                <w:sz w:val="20"/>
                <w:szCs w:val="20"/>
              </w:rPr>
              <w:t>BTL</w:t>
            </w:r>
          </w:p>
        </w:tc>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35"/>
              <w:framePr w:h="23" w:hAnchor="page" w:hRule="exact" w:hSpace="0" w:vAnchor="margin" w:vSpace="0" w:w="5140" w:wrap="around" w:xAlign="center" w:y="77"/>
              <w:pBdr>
                <w:top w:val="none"/>
                <w:left w:val="none"/>
                <w:bottom w:val="none"/>
                <w:insideH w:val="none"/>
                <w:right w:val="none"/>
                <w:insideV w:val="none"/>
              </w:pBdr>
            </w:pPr>
            <w:bookmarkStart w:id="42" w:name="__UnoMark__539_1906547576"/>
            <w:bookmarkEnd w:id="42"/>
            <w:r>
              <w:rPr>
                <w:rFonts w:cs="Times New Roman" w:eastAsia="Times New Roman"/>
                <w:color w:val="00000A"/>
                <w:sz w:val="20"/>
                <w:szCs w:val="20"/>
              </w:rPr>
              <w:t>104</w:t>
            </w:r>
          </w:p>
        </w:tc>
      </w:tr>
    </w:tbl>
    <w:p>
      <w:pPr>
        <w:pStyle w:val="style35"/>
      </w:pPr>
      <w:r>
        <w:rPr>
          <w:rFonts w:ascii="Arial" w:hAnsi="Arial"/>
          <w:color w:val="FF6600"/>
          <w:sz w:val="22"/>
          <w:szCs w:val="22"/>
        </w:rPr>
      </w:r>
    </w:p>
    <w:p>
      <w:pPr>
        <w:pStyle w:val="style8"/>
        <w:jc w:val="both"/>
      </w:pPr>
      <w:r>
        <w:rPr>
          <w:rFonts w:ascii="Arial" w:hAnsi="Arial"/>
          <w:color w:val="FF6600"/>
          <w:sz w:val="22"/>
          <w:szCs w:val="22"/>
        </w:rPr>
      </w:r>
    </w:p>
    <w:p>
      <w:pPr>
        <w:pStyle w:val="style8"/>
        <w:jc w:val="both"/>
      </w:pPr>
      <w:r>
        <w:rPr>
          <w:rFonts w:ascii="Arial" w:hAnsi="Arial"/>
          <w:color w:val="FF6600"/>
          <w:sz w:val="22"/>
          <w:szCs w:val="22"/>
        </w:rPr>
      </w:r>
    </w:p>
    <w:p>
      <w:pPr>
        <w:pStyle w:val="style8"/>
        <w:jc w:val="both"/>
      </w:pPr>
      <w:r>
        <w:rPr>
          <w:rFonts w:ascii="Arial" w:hAnsi="Arial"/>
          <w:color w:val="FF6600"/>
          <w:sz w:val="22"/>
          <w:szCs w:val="22"/>
        </w:rPr>
      </w:r>
    </w:p>
    <w:p>
      <w:pPr>
        <w:pStyle w:val="style0"/>
        <w:jc w:val="both"/>
      </w:pPr>
      <w:r>
        <w:rPr>
          <w:rFonts w:ascii="Arial" w:hAnsi="Arial"/>
          <w:color w:val="FF6600"/>
          <w:sz w:val="22"/>
          <w:szCs w:val="22"/>
        </w:rPr>
      </w:r>
    </w:p>
    <w:p>
      <w:pPr>
        <w:pStyle w:val="style0"/>
        <w:jc w:val="both"/>
      </w:pPr>
      <w:r>
        <w:rPr>
          <w:rFonts w:ascii="Arial" w:hAnsi="Arial"/>
          <w:color w:val="FF6600"/>
          <w:sz w:val="22"/>
          <w:szCs w:val="22"/>
        </w:rPr>
      </w:r>
    </w:p>
    <w:p>
      <w:pPr>
        <w:pStyle w:val="style0"/>
        <w:jc w:val="both"/>
      </w:pPr>
      <w:r>
        <w:rPr>
          <w:rFonts w:ascii="Arial" w:hAnsi="Arial"/>
          <w:sz w:val="22"/>
          <w:szCs w:val="22"/>
          <w:lang w:val="en-GB"/>
        </w:rPr>
      </w:r>
    </w:p>
    <w:p>
      <w:pPr>
        <w:pStyle w:val="style0"/>
        <w:jc w:val="both"/>
      </w:pPr>
      <w:r>
        <w:rPr>
          <w:rFonts w:ascii="Arial" w:hAnsi="Arial"/>
          <w:sz w:val="22"/>
          <w:szCs w:val="22"/>
          <w:lang w:val="en-GB"/>
        </w:rPr>
        <w:t xml:space="preserve">10. </w:t>
        <w:tab/>
        <w:t xml:space="preserve">SCHOOL HEALTH PROGRAMME </w:t>
      </w:r>
    </w:p>
    <w:p>
      <w:pPr>
        <w:pStyle w:val="style0"/>
        <w:jc w:val="both"/>
      </w:pPr>
      <w:r>
        <w:rPr>
          <w:rFonts w:ascii="Arial" w:hAnsi="Arial"/>
          <w:sz w:val="22"/>
          <w:szCs w:val="22"/>
          <w:lang w:val="en-GB"/>
        </w:rPr>
      </w:r>
    </w:p>
    <w:p>
      <w:pPr>
        <w:pStyle w:val="style0"/>
        <w:jc w:val="both"/>
      </w:pPr>
      <w:r>
        <w:rPr>
          <w:rFonts w:ascii="Arial" w:hAnsi="Arial"/>
          <w:sz w:val="22"/>
          <w:szCs w:val="22"/>
          <w:lang w:val="en-GB"/>
        </w:rPr>
        <w:t>The School Health Programme provides services for primary school aged children for the purpose of optimizing their health status in order to facilitate learning.  It involves collaboration between school authorities, teachers and the health team.</w:t>
      </w:r>
    </w:p>
    <w:p>
      <w:pPr>
        <w:pStyle w:val="style0"/>
        <w:jc w:val="both"/>
      </w:pPr>
      <w:r>
        <w:rPr>
          <w:rFonts w:ascii="Arial" w:hAnsi="Arial"/>
          <w:sz w:val="22"/>
          <w:szCs w:val="22"/>
          <w:lang w:val="en-GB"/>
        </w:rPr>
        <w:t>We conducted school health programmes with the following objectives:</w:t>
      </w:r>
    </w:p>
    <w:p>
      <w:pPr>
        <w:pStyle w:val="style37"/>
        <w:numPr>
          <w:ilvl w:val="0"/>
          <w:numId w:val="18"/>
        </w:numPr>
        <w:jc w:val="both"/>
      </w:pPr>
      <w:r>
        <w:rPr>
          <w:rFonts w:ascii="Arial" w:hAnsi="Arial"/>
          <w:lang w:val="en-GB"/>
        </w:rPr>
        <w:t>To facilitates creation of a healthy environment conducive to learning.</w:t>
      </w:r>
    </w:p>
    <w:p>
      <w:pPr>
        <w:pStyle w:val="style37"/>
        <w:numPr>
          <w:ilvl w:val="0"/>
          <w:numId w:val="18"/>
        </w:numPr>
        <w:jc w:val="both"/>
      </w:pPr>
      <w:r>
        <w:rPr>
          <w:rFonts w:ascii="Arial" w:hAnsi="Arial"/>
          <w:lang w:val="en-GB"/>
        </w:rPr>
        <w:t>To provide adequate support systems for promoting healthy life styles.</w:t>
      </w:r>
    </w:p>
    <w:p>
      <w:pPr>
        <w:pStyle w:val="style37"/>
        <w:numPr>
          <w:ilvl w:val="0"/>
          <w:numId w:val="18"/>
        </w:numPr>
        <w:jc w:val="both"/>
      </w:pPr>
      <w:r>
        <w:rPr>
          <w:rFonts w:ascii="Arial" w:hAnsi="Arial"/>
          <w:lang w:val="en-GB"/>
        </w:rPr>
        <w:t>To make essential health services appropriate to school aged children more accessible and available.</w:t>
      </w:r>
    </w:p>
    <w:p>
      <w:pPr>
        <w:pStyle w:val="style0"/>
        <w:ind w:hanging="0" w:left="360" w:right="0"/>
        <w:jc w:val="both"/>
      </w:pPr>
      <w:r>
        <w:rPr>
          <w:rFonts w:ascii="Arial" w:hAnsi="Arial"/>
          <w:sz w:val="22"/>
          <w:szCs w:val="22"/>
          <w:lang w:val="en-GB"/>
        </w:rPr>
        <w:t>The activities were conducted in three areas namely:</w:t>
      </w:r>
    </w:p>
    <w:p>
      <w:pPr>
        <w:pStyle w:val="style37"/>
        <w:numPr>
          <w:ilvl w:val="0"/>
          <w:numId w:val="19"/>
        </w:numPr>
        <w:jc w:val="both"/>
      </w:pPr>
      <w:r>
        <w:rPr>
          <w:rFonts w:ascii="Arial" w:hAnsi="Arial"/>
          <w:lang w:val="en-GB"/>
        </w:rPr>
        <w:t>Social environment.</w:t>
      </w:r>
    </w:p>
    <w:p>
      <w:pPr>
        <w:pStyle w:val="style37"/>
        <w:numPr>
          <w:ilvl w:val="0"/>
          <w:numId w:val="19"/>
        </w:numPr>
        <w:jc w:val="both"/>
      </w:pPr>
      <w:r>
        <w:rPr>
          <w:rFonts w:ascii="Arial" w:hAnsi="Arial"/>
          <w:lang w:val="en-GB"/>
        </w:rPr>
        <w:t>External environment of the school premises and the surroundings</w:t>
      </w:r>
    </w:p>
    <w:p>
      <w:pPr>
        <w:pStyle w:val="style37"/>
        <w:numPr>
          <w:ilvl w:val="0"/>
          <w:numId w:val="19"/>
        </w:numPr>
        <w:jc w:val="both"/>
      </w:pPr>
      <w:r>
        <w:rPr>
          <w:rFonts w:ascii="Arial" w:hAnsi="Arial"/>
          <w:lang w:val="en-GB"/>
        </w:rPr>
        <w:t>Health assessment of pupils.</w:t>
      </w:r>
    </w:p>
    <w:p>
      <w:pPr>
        <w:pStyle w:val="style0"/>
        <w:jc w:val="both"/>
      </w:pPr>
      <w:r>
        <w:rPr>
          <w:rFonts w:ascii="Arial" w:hAnsi="Arial"/>
          <w:sz w:val="22"/>
          <w:szCs w:val="22"/>
          <w:lang w:val="en-GB"/>
        </w:rPr>
        <w:t>We managed to reach 6 schools as planned, listed below;</w:t>
      </w:r>
    </w:p>
    <w:p>
      <w:pPr>
        <w:pStyle w:val="style0"/>
        <w:jc w:val="both"/>
      </w:pPr>
      <w:r>
        <w:rPr>
          <w:rFonts w:ascii="Arial" w:hAnsi="Arial"/>
          <w:sz w:val="22"/>
          <w:szCs w:val="22"/>
          <w:lang w:val="en-GB"/>
        </w:rPr>
      </w:r>
    </w:p>
    <w:p>
      <w:pPr>
        <w:pStyle w:val="style0"/>
        <w:jc w:val="both"/>
      </w:pPr>
      <w:r>
        <w:rPr>
          <w:rFonts w:ascii="Arial" w:hAnsi="Arial"/>
          <w:sz w:val="22"/>
          <w:szCs w:val="22"/>
          <w:lang w:val="en-GB"/>
        </w:rPr>
        <w:t>1. CHIBATHI   PRIMARY SCHOOL.</w:t>
      </w:r>
    </w:p>
    <w:p>
      <w:pPr>
        <w:pStyle w:val="style0"/>
        <w:jc w:val="both"/>
      </w:pPr>
      <w:r>
        <w:rPr>
          <w:rFonts w:ascii="Arial" w:hAnsi="Arial"/>
          <w:sz w:val="22"/>
          <w:szCs w:val="22"/>
          <w:lang w:val="en-GB"/>
        </w:rPr>
        <w:t>Established in 1935 by the Roman Catholic Church under Blantyre Archdiocese.</w:t>
      </w:r>
    </w:p>
    <w:p>
      <w:pPr>
        <w:pStyle w:val="style0"/>
        <w:jc w:val="both"/>
      </w:pPr>
      <w:r>
        <w:rPr>
          <w:rFonts w:ascii="Arial" w:hAnsi="Arial"/>
          <w:sz w:val="22"/>
          <w:szCs w:val="22"/>
          <w:lang w:val="en-GB"/>
        </w:rPr>
        <w:t>The school is under Ulongwe Teachers Development Centre Zone.</w:t>
      </w:r>
    </w:p>
    <w:p>
      <w:pPr>
        <w:pStyle w:val="style0"/>
        <w:jc w:val="both"/>
      </w:pPr>
      <w:r>
        <w:rPr>
          <w:rFonts w:ascii="Arial" w:hAnsi="Arial"/>
          <w:sz w:val="22"/>
          <w:szCs w:val="22"/>
          <w:lang w:val="en-GB"/>
        </w:rPr>
        <w:t>The school is surrounded by four villages: Makwale, Samson, Tambala and Lowa  in the Traditional Authourity Mabuka. The school enrolment for the fiscal year 2013 – 2014 was 693 pupils where by 417 are male pupils and 276 are female pupils. Total number of teachers is 13 of which 10 are females and 3 are male teachers.</w:t>
      </w:r>
    </w:p>
    <w:p>
      <w:pPr>
        <w:pStyle w:val="style0"/>
        <w:jc w:val="both"/>
      </w:pPr>
      <w:r>
        <w:rPr>
          <w:rFonts w:ascii="Arial" w:hAnsi="Arial"/>
          <w:sz w:val="22"/>
          <w:szCs w:val="22"/>
          <w:lang w:val="en-GB"/>
        </w:rPr>
      </w:r>
    </w:p>
    <w:p>
      <w:pPr>
        <w:pStyle w:val="style0"/>
        <w:jc w:val="both"/>
      </w:pPr>
      <w:r>
        <w:rPr>
          <w:rFonts w:ascii="Arial" w:hAnsi="Arial"/>
          <w:sz w:val="22"/>
          <w:szCs w:val="22"/>
          <w:lang w:val="en-GB"/>
        </w:rPr>
        <w:t>2. KANG’OMA PRIMARY SCHOOL.</w:t>
      </w:r>
    </w:p>
    <w:p>
      <w:pPr>
        <w:pStyle w:val="style0"/>
        <w:jc w:val="both"/>
      </w:pPr>
      <w:r>
        <w:rPr>
          <w:rFonts w:ascii="Arial" w:hAnsi="Arial"/>
          <w:sz w:val="22"/>
          <w:szCs w:val="22"/>
          <w:lang w:val="en-GB"/>
        </w:rPr>
        <w:t>The school was established in 1952 under Blantyre Arcdiocese. The school name was derived from the name of the village where the school is located. The school is under Ulongwe Teachers Development Centre Zone.</w:t>
      </w:r>
    </w:p>
    <w:p>
      <w:pPr>
        <w:pStyle w:val="style0"/>
        <w:jc w:val="both"/>
      </w:pPr>
      <w:r>
        <w:rPr>
          <w:rFonts w:ascii="Arial" w:hAnsi="Arial"/>
          <w:sz w:val="22"/>
          <w:szCs w:val="22"/>
          <w:lang w:val="en-GB"/>
        </w:rPr>
        <w:t>The school is surrounded by six villages namely: kang’oma, Bwanali, Majawa, Misanjo , Bokosi and Wasi in the Traditional Authourity Mabuka. The school enrolment for the fiscal year 2013 -2014 was 805 of which 382 are boys and 423 are girl pupils. The school has got 11 teachers in total of which 8 are males and 3 are females.</w:t>
      </w:r>
    </w:p>
    <w:p>
      <w:pPr>
        <w:pStyle w:val="style0"/>
        <w:jc w:val="both"/>
      </w:pPr>
      <w:r>
        <w:rPr>
          <w:rFonts w:ascii="Arial" w:hAnsi="Arial"/>
          <w:sz w:val="22"/>
          <w:szCs w:val="22"/>
          <w:lang w:val="en-GB"/>
        </w:rPr>
      </w:r>
    </w:p>
    <w:p>
      <w:pPr>
        <w:pStyle w:val="style0"/>
        <w:jc w:val="both"/>
      </w:pPr>
      <w:r>
        <w:rPr>
          <w:rFonts w:ascii="Arial" w:hAnsi="Arial"/>
          <w:sz w:val="22"/>
          <w:szCs w:val="22"/>
          <w:lang w:val="en-GB"/>
        </w:rPr>
        <w:t>3. KHAYA PRIMARY SCHOOL</w:t>
      </w:r>
    </w:p>
    <w:p>
      <w:pPr>
        <w:pStyle w:val="style0"/>
        <w:jc w:val="both"/>
      </w:pPr>
      <w:r>
        <w:rPr>
          <w:rFonts w:ascii="Arial" w:hAnsi="Arial"/>
          <w:sz w:val="22"/>
          <w:szCs w:val="22"/>
          <w:lang w:val="en-GB"/>
        </w:rPr>
        <w:t>The school was built under CCAP Blantyre Synod and is under Ulongwe Teachers Development Centre Zone.</w:t>
      </w:r>
    </w:p>
    <w:p>
      <w:pPr>
        <w:pStyle w:val="style0"/>
        <w:jc w:val="both"/>
      </w:pPr>
      <w:r>
        <w:rPr>
          <w:rFonts w:ascii="Arial" w:hAnsi="Arial"/>
          <w:sz w:val="22"/>
          <w:szCs w:val="22"/>
          <w:lang w:val="en-GB"/>
        </w:rPr>
        <w:t>The school is surrounded by six villages namely: Mmina, Sapuwa, Mataka, Manyangala, Nakutho and Bwanali in the Traditional Authourity Chikumbu. The school enrolment for the fiscal year 2013 -2014 was 2180 pupils of which 1099 are boys and 1081 are girls. The school has got 11 teachers in total of which 6 are males and 5 are females.</w:t>
      </w:r>
    </w:p>
    <w:p>
      <w:pPr>
        <w:pStyle w:val="style0"/>
        <w:jc w:val="both"/>
      </w:pPr>
      <w:r>
        <w:rPr>
          <w:rFonts w:ascii="Arial" w:hAnsi="Arial"/>
          <w:sz w:val="22"/>
          <w:szCs w:val="22"/>
          <w:lang w:val="en-GB"/>
        </w:rPr>
      </w:r>
    </w:p>
    <w:p>
      <w:pPr>
        <w:pStyle w:val="style0"/>
        <w:jc w:val="both"/>
      </w:pPr>
      <w:r>
        <w:rPr>
          <w:rFonts w:ascii="Arial" w:hAnsi="Arial"/>
          <w:sz w:val="22"/>
          <w:szCs w:val="22"/>
          <w:lang w:val="en-GB"/>
        </w:rPr>
        <w:t>4. KANJEDZA PRIMARY SCHOOL</w:t>
      </w:r>
    </w:p>
    <w:p>
      <w:pPr>
        <w:pStyle w:val="style0"/>
        <w:jc w:val="both"/>
      </w:pPr>
      <w:r>
        <w:rPr>
          <w:rFonts w:ascii="Arial" w:hAnsi="Arial"/>
          <w:sz w:val="22"/>
          <w:szCs w:val="22"/>
          <w:lang w:val="en-GB"/>
        </w:rPr>
        <w:t>The school was built by the government through Mulanje District Council and is under Ulongwe Teachers Development Centre Zone.The school is surrounded by four villages namely: Salamba, Wasi, Mamera, and Sembezi in Traditional Authourity Mabuka. The school enrolment for the fiscal year 2013 -2014 was 819 of which  345 are boys and 474 are girls. The school has got 10 teachers in total of which 7 are females and 3 are males.</w:t>
      </w:r>
    </w:p>
    <w:p>
      <w:pPr>
        <w:pStyle w:val="style0"/>
        <w:jc w:val="both"/>
      </w:pPr>
      <w:r>
        <w:rPr>
          <w:rFonts w:ascii="Arial" w:hAnsi="Arial"/>
          <w:sz w:val="22"/>
          <w:szCs w:val="22"/>
          <w:lang w:val="en-GB"/>
        </w:rPr>
      </w:r>
    </w:p>
    <w:p>
      <w:pPr>
        <w:pStyle w:val="style0"/>
        <w:jc w:val="both"/>
      </w:pPr>
      <w:r>
        <w:rPr>
          <w:rFonts w:ascii="Arial" w:hAnsi="Arial"/>
          <w:sz w:val="22"/>
          <w:szCs w:val="22"/>
          <w:lang w:val="en-GB"/>
        </w:rPr>
        <w:t>5. NGOLOWERA PRIMARY SCHOOL</w:t>
      </w:r>
    </w:p>
    <w:p>
      <w:pPr>
        <w:pStyle w:val="style0"/>
        <w:jc w:val="both"/>
      </w:pPr>
      <w:r>
        <w:rPr>
          <w:rFonts w:ascii="Arial" w:hAnsi="Arial"/>
          <w:sz w:val="22"/>
          <w:szCs w:val="22"/>
          <w:lang w:val="en-GB"/>
        </w:rPr>
        <w:t>The school was established in the year 2000 by Catholic Church under Blantyre Arcdiocese and the government through Mulanje District Council.The school is under Ulongwe Teachers Development Centre Zone. It is surrounded by three villages namely; Ngolowera, Namatingwi and Kuthanguwo in Traditional Authourity Chikumbu.The school enrolment for the fiscal year 2013 -2014 is 635 of which 327 are boys and 308 are girls.</w:t>
      </w:r>
    </w:p>
    <w:p>
      <w:pPr>
        <w:pStyle w:val="style0"/>
        <w:jc w:val="both"/>
      </w:pPr>
      <w:r>
        <w:rPr>
          <w:rFonts w:ascii="Arial" w:hAnsi="Arial"/>
          <w:sz w:val="22"/>
          <w:szCs w:val="22"/>
          <w:lang w:val="en-GB"/>
        </w:rPr>
        <w:t>The school has got 9 teachers in total of which 6 are males and 3 are females.</w:t>
      </w:r>
    </w:p>
    <w:p>
      <w:pPr>
        <w:pStyle w:val="style0"/>
        <w:jc w:val="both"/>
      </w:pPr>
      <w:r>
        <w:rPr>
          <w:rFonts w:ascii="Arial" w:hAnsi="Arial"/>
          <w:sz w:val="22"/>
          <w:szCs w:val="22"/>
          <w:lang w:val="en-GB"/>
        </w:rPr>
      </w:r>
    </w:p>
    <w:p>
      <w:pPr>
        <w:pStyle w:val="style0"/>
        <w:jc w:val="both"/>
      </w:pPr>
      <w:r>
        <w:rPr>
          <w:rFonts w:ascii="Arial" w:hAnsi="Arial"/>
          <w:sz w:val="22"/>
          <w:szCs w:val="22"/>
          <w:lang w:val="en-GB"/>
        </w:rPr>
        <w:t>6. SIKOYA PRIMARY SCHOOL</w:t>
      </w:r>
    </w:p>
    <w:p>
      <w:pPr>
        <w:pStyle w:val="style0"/>
        <w:jc w:val="both"/>
      </w:pPr>
      <w:r>
        <w:rPr>
          <w:rFonts w:ascii="Arial" w:hAnsi="Arial"/>
          <w:sz w:val="22"/>
          <w:szCs w:val="22"/>
          <w:lang w:val="en-GB"/>
        </w:rPr>
        <w:t>The school was established by the CCAP Blantyre Synod in 1985.The school is under Ulongwe Teachers Development Centre Zone.It is surrounded by five villages namely: Sikoya, Gilbert,Robeni,Nkumbi and Waluma in Traditional Authourity Chikumbu. The school enrolment for the fiscal year 2013 -2014 was 1594 of which 819 are boys and 775 are girls.The school has got 12 teachers in total of which 8 are males and 4 are females.</w:t>
      </w:r>
    </w:p>
    <w:p>
      <w:pPr>
        <w:pStyle w:val="style0"/>
        <w:jc w:val="both"/>
      </w:pPr>
      <w:r>
        <w:rPr>
          <w:rFonts w:ascii="Arial" w:hAnsi="Arial"/>
          <w:sz w:val="22"/>
          <w:szCs w:val="22"/>
          <w:lang w:val="en-GB"/>
        </w:rPr>
      </w:r>
    </w:p>
    <w:p>
      <w:pPr>
        <w:pStyle w:val="style0"/>
        <w:jc w:val="both"/>
      </w:pPr>
      <w:r>
        <w:rPr>
          <w:rFonts w:ascii="Arial" w:hAnsi="Arial"/>
          <w:sz w:val="22"/>
          <w:szCs w:val="22"/>
          <w:lang w:val="en-GB"/>
        </w:rPr>
        <w:t>ACHIEVEMENTS and STRENGTHS OF THESE SCHOOLS</w:t>
      </w:r>
    </w:p>
    <w:p>
      <w:pPr>
        <w:pStyle w:val="style37"/>
        <w:numPr>
          <w:ilvl w:val="0"/>
          <w:numId w:val="20"/>
        </w:numPr>
        <w:jc w:val="both"/>
      </w:pPr>
      <w:r>
        <w:rPr>
          <w:rFonts w:ascii="Arial" w:hAnsi="Arial"/>
          <w:lang w:val="en-GB"/>
        </w:rPr>
        <w:t>Parent and Teachers Association members are active in all primary schools.</w:t>
      </w:r>
    </w:p>
    <w:p>
      <w:pPr>
        <w:pStyle w:val="style37"/>
        <w:numPr>
          <w:ilvl w:val="0"/>
          <w:numId w:val="20"/>
        </w:numPr>
        <w:jc w:val="both"/>
      </w:pPr>
      <w:r>
        <w:rPr>
          <w:rFonts w:ascii="Arial" w:hAnsi="Arial"/>
          <w:lang w:val="en-GB"/>
        </w:rPr>
        <w:t>School blocks are permanent with iron sheets.</w:t>
      </w:r>
    </w:p>
    <w:p>
      <w:pPr>
        <w:pStyle w:val="style37"/>
        <w:numPr>
          <w:ilvl w:val="0"/>
          <w:numId w:val="20"/>
        </w:numPr>
        <w:jc w:val="both"/>
      </w:pPr>
      <w:r>
        <w:rPr>
          <w:rFonts w:ascii="Arial" w:hAnsi="Arial"/>
          <w:lang w:val="en-GB"/>
        </w:rPr>
        <w:t>Availability of water source within the school premises.</w:t>
      </w:r>
    </w:p>
    <w:p>
      <w:pPr>
        <w:pStyle w:val="style37"/>
        <w:numPr>
          <w:ilvl w:val="0"/>
          <w:numId w:val="20"/>
        </w:numPr>
        <w:jc w:val="both"/>
      </w:pPr>
      <w:r>
        <w:rPr>
          <w:rFonts w:ascii="Arial" w:hAnsi="Arial"/>
          <w:lang w:val="en-GB"/>
        </w:rPr>
        <w:t>Availability of toilets for girls and boys and teachers separately.</w:t>
      </w:r>
    </w:p>
    <w:p>
      <w:pPr>
        <w:pStyle w:val="style37"/>
        <w:numPr>
          <w:ilvl w:val="0"/>
          <w:numId w:val="20"/>
        </w:numPr>
        <w:jc w:val="both"/>
      </w:pPr>
      <w:r>
        <w:rPr>
          <w:rFonts w:ascii="Arial" w:hAnsi="Arial"/>
          <w:lang w:val="en-GB"/>
        </w:rPr>
        <w:t>Availability of refuse disposal area.</w:t>
      </w:r>
    </w:p>
    <w:p>
      <w:pPr>
        <w:pStyle w:val="style37"/>
        <w:numPr>
          <w:ilvl w:val="0"/>
          <w:numId w:val="20"/>
        </w:numPr>
        <w:jc w:val="both"/>
      </w:pPr>
      <w:r>
        <w:rPr>
          <w:rFonts w:ascii="Arial" w:hAnsi="Arial"/>
          <w:lang w:val="en-GB"/>
        </w:rPr>
        <w:t>Availability of recreation area for both boys and girls.</w:t>
      </w:r>
    </w:p>
    <w:p>
      <w:pPr>
        <w:pStyle w:val="style37"/>
        <w:numPr>
          <w:ilvl w:val="0"/>
          <w:numId w:val="20"/>
        </w:numPr>
        <w:jc w:val="both"/>
      </w:pPr>
      <w:r>
        <w:rPr>
          <w:rFonts w:ascii="Arial" w:hAnsi="Arial"/>
          <w:lang w:val="en-GB"/>
        </w:rPr>
        <w:t>Presence of nutritional program.</w:t>
      </w:r>
    </w:p>
    <w:p>
      <w:pPr>
        <w:pStyle w:val="style37"/>
        <w:numPr>
          <w:ilvl w:val="0"/>
          <w:numId w:val="20"/>
        </w:numPr>
        <w:jc w:val="both"/>
      </w:pPr>
      <w:r>
        <w:rPr>
          <w:rFonts w:ascii="Arial" w:hAnsi="Arial"/>
          <w:lang w:val="en-GB"/>
        </w:rPr>
        <w:t>Good relationship between teachers, parents and pupils.</w:t>
      </w:r>
    </w:p>
    <w:p>
      <w:pPr>
        <w:pStyle w:val="style37"/>
        <w:numPr>
          <w:ilvl w:val="0"/>
          <w:numId w:val="20"/>
        </w:numPr>
        <w:jc w:val="both"/>
      </w:pPr>
      <w:r>
        <w:rPr>
          <w:rFonts w:ascii="Arial" w:hAnsi="Arial"/>
          <w:lang w:val="en-GB"/>
        </w:rPr>
        <w:t>General hygiene.</w:t>
      </w:r>
    </w:p>
    <w:p>
      <w:pPr>
        <w:pStyle w:val="style37"/>
        <w:numPr>
          <w:ilvl w:val="0"/>
          <w:numId w:val="20"/>
        </w:numPr>
        <w:jc w:val="both"/>
      </w:pPr>
      <w:r>
        <w:rPr>
          <w:rFonts w:ascii="Arial" w:hAnsi="Arial"/>
          <w:lang w:val="en-GB"/>
        </w:rPr>
        <w:t>Pupils are able to put on school uniform.</w:t>
      </w:r>
    </w:p>
    <w:p>
      <w:pPr>
        <w:pStyle w:val="style37"/>
        <w:numPr>
          <w:ilvl w:val="0"/>
          <w:numId w:val="20"/>
        </w:numPr>
        <w:jc w:val="both"/>
      </w:pPr>
      <w:r>
        <w:rPr>
          <w:rFonts w:ascii="Arial" w:hAnsi="Arial"/>
          <w:lang w:val="en-GB"/>
        </w:rPr>
        <w:t>Availability of school market.</w:t>
      </w:r>
    </w:p>
    <w:p>
      <w:pPr>
        <w:pStyle w:val="style37"/>
        <w:numPr>
          <w:ilvl w:val="0"/>
          <w:numId w:val="20"/>
        </w:numPr>
        <w:jc w:val="both"/>
      </w:pPr>
      <w:r>
        <w:rPr>
          <w:rFonts w:ascii="Arial" w:hAnsi="Arial"/>
          <w:lang w:val="en-GB"/>
        </w:rPr>
        <w:t>The school has norms and values, vision and mission statements.</w:t>
      </w:r>
    </w:p>
    <w:p>
      <w:pPr>
        <w:pStyle w:val="style37"/>
        <w:numPr>
          <w:ilvl w:val="0"/>
          <w:numId w:val="20"/>
        </w:numPr>
        <w:jc w:val="both"/>
      </w:pPr>
      <w:r>
        <w:rPr>
          <w:rFonts w:ascii="Arial" w:hAnsi="Arial"/>
          <w:lang w:val="en-GB"/>
        </w:rPr>
        <w:t>They have curriculum designed in such a way that it stimulates critical abilities and thinking.</w:t>
      </w:r>
    </w:p>
    <w:p>
      <w:pPr>
        <w:pStyle w:val="style37"/>
        <w:numPr>
          <w:ilvl w:val="0"/>
          <w:numId w:val="20"/>
        </w:numPr>
        <w:jc w:val="both"/>
      </w:pPr>
      <w:r>
        <w:rPr>
          <w:rFonts w:ascii="Arial" w:hAnsi="Arial"/>
          <w:lang w:val="en-GB"/>
        </w:rPr>
        <w:t xml:space="preserve">The schools have good security. </w:t>
      </w:r>
    </w:p>
    <w:p>
      <w:pPr>
        <w:pStyle w:val="style37"/>
        <w:numPr>
          <w:ilvl w:val="0"/>
          <w:numId w:val="20"/>
        </w:numPr>
        <w:jc w:val="both"/>
      </w:pPr>
      <w:r>
        <w:rPr>
          <w:rFonts w:ascii="Arial" w:hAnsi="Arial"/>
          <w:lang w:val="en-GB"/>
        </w:rPr>
        <w:t>They have low school dropout rates</w:t>
      </w:r>
    </w:p>
    <w:p>
      <w:pPr>
        <w:pStyle w:val="style37"/>
        <w:numPr>
          <w:ilvl w:val="0"/>
          <w:numId w:val="20"/>
        </w:numPr>
        <w:jc w:val="both"/>
      </w:pPr>
      <w:r>
        <w:rPr>
          <w:rFonts w:ascii="Arial" w:hAnsi="Arial"/>
          <w:lang w:val="en-GB"/>
        </w:rPr>
        <w:t>Health assessment (head to toe examination) was done, all standard one pupils were assessed.</w:t>
      </w:r>
    </w:p>
    <w:p>
      <w:pPr>
        <w:pStyle w:val="style0"/>
        <w:jc w:val="both"/>
      </w:pPr>
      <w:r>
        <w:rPr>
          <w:rFonts w:ascii="Arial" w:hAnsi="Arial"/>
          <w:sz w:val="22"/>
          <w:szCs w:val="22"/>
          <w:lang w:val="en-GB"/>
        </w:rPr>
        <w:t>CHALLENGES FOUND DURING SCHOOL HEALTH ACTIVITIES</w:t>
      </w:r>
    </w:p>
    <w:p>
      <w:pPr>
        <w:pStyle w:val="style37"/>
        <w:numPr>
          <w:ilvl w:val="0"/>
          <w:numId w:val="21"/>
        </w:numPr>
        <w:jc w:val="both"/>
      </w:pPr>
      <w:r>
        <w:rPr>
          <w:rFonts w:ascii="Arial" w:hAnsi="Arial"/>
          <w:lang w:val="en-GB"/>
        </w:rPr>
        <w:t>They do not have enough desks for all classes.</w:t>
      </w:r>
    </w:p>
    <w:p>
      <w:pPr>
        <w:pStyle w:val="style37"/>
        <w:numPr>
          <w:ilvl w:val="0"/>
          <w:numId w:val="21"/>
        </w:numPr>
        <w:jc w:val="both"/>
      </w:pPr>
      <w:r>
        <w:rPr>
          <w:rFonts w:ascii="Arial" w:hAnsi="Arial"/>
          <w:lang w:val="en-GB"/>
        </w:rPr>
        <w:t>They do not have school library, books are kept in headmasters office.</w:t>
      </w:r>
    </w:p>
    <w:p>
      <w:pPr>
        <w:pStyle w:val="style37"/>
        <w:numPr>
          <w:ilvl w:val="0"/>
          <w:numId w:val="21"/>
        </w:numPr>
        <w:jc w:val="both"/>
      </w:pPr>
      <w:r>
        <w:rPr>
          <w:rFonts w:ascii="Arial" w:hAnsi="Arial"/>
          <w:lang w:val="en-GB"/>
        </w:rPr>
        <w:t>They do not have enough teachers or enough learning materials.</w:t>
      </w:r>
    </w:p>
    <w:p>
      <w:pPr>
        <w:pStyle w:val="style37"/>
        <w:numPr>
          <w:ilvl w:val="0"/>
          <w:numId w:val="21"/>
        </w:numPr>
        <w:jc w:val="both"/>
      </w:pPr>
      <w:r>
        <w:rPr>
          <w:rFonts w:ascii="Arial" w:hAnsi="Arial"/>
          <w:lang w:val="en-GB"/>
        </w:rPr>
        <w:t>Some foods that are sold in the school market are not covered</w:t>
      </w:r>
    </w:p>
    <w:p>
      <w:pPr>
        <w:pStyle w:val="style37"/>
        <w:numPr>
          <w:ilvl w:val="0"/>
          <w:numId w:val="21"/>
        </w:numPr>
        <w:jc w:val="both"/>
      </w:pPr>
      <w:r>
        <w:rPr>
          <w:rFonts w:ascii="Arial" w:hAnsi="Arial"/>
          <w:lang w:val="en-GB"/>
        </w:rPr>
        <w:t>Some schools have few female teachers who can be models to girls.</w:t>
      </w:r>
    </w:p>
    <w:p>
      <w:pPr>
        <w:pStyle w:val="style37"/>
        <w:numPr>
          <w:ilvl w:val="0"/>
          <w:numId w:val="21"/>
        </w:numPr>
        <w:jc w:val="both"/>
      </w:pPr>
      <w:r>
        <w:rPr>
          <w:rFonts w:ascii="Arial" w:hAnsi="Arial"/>
          <w:lang w:val="en-GB"/>
        </w:rPr>
        <w:t>Toilets are not enough, ideal ratio of girls toilets is 1 to 20 whilst boys is 1 toilet to 25 pupils.</w:t>
      </w:r>
    </w:p>
    <w:p>
      <w:pPr>
        <w:pStyle w:val="style37"/>
        <w:numPr>
          <w:ilvl w:val="0"/>
          <w:numId w:val="21"/>
        </w:numPr>
        <w:jc w:val="both"/>
      </w:pPr>
      <w:r>
        <w:rPr>
          <w:rFonts w:ascii="Arial" w:hAnsi="Arial"/>
          <w:lang w:val="en-GB"/>
        </w:rPr>
        <w:t>The toilets have no doors hence no privacy.</w:t>
      </w:r>
    </w:p>
    <w:p>
      <w:pPr>
        <w:pStyle w:val="style37"/>
        <w:numPr>
          <w:ilvl w:val="0"/>
          <w:numId w:val="21"/>
        </w:numPr>
        <w:jc w:val="both"/>
      </w:pPr>
      <w:r>
        <w:rPr>
          <w:rFonts w:ascii="Arial" w:hAnsi="Arial"/>
          <w:lang w:val="en-GB"/>
        </w:rPr>
        <w:t>There are no hand washing facilities at the toilets, bad smell from toilets.</w:t>
      </w:r>
    </w:p>
    <w:p>
      <w:pPr>
        <w:pStyle w:val="style37"/>
        <w:numPr>
          <w:ilvl w:val="0"/>
          <w:numId w:val="21"/>
        </w:numPr>
        <w:jc w:val="both"/>
      </w:pPr>
      <w:r>
        <w:rPr>
          <w:rFonts w:ascii="Arial" w:hAnsi="Arial"/>
          <w:lang w:val="en-GB"/>
        </w:rPr>
        <w:t xml:space="preserve">Cleaning of toilets is done by the pupils themselves without protective wear </w:t>
      </w:r>
    </w:p>
    <w:p>
      <w:pPr>
        <w:pStyle w:val="style37"/>
        <w:numPr>
          <w:ilvl w:val="0"/>
          <w:numId w:val="21"/>
        </w:numPr>
        <w:jc w:val="both"/>
      </w:pPr>
      <w:r>
        <w:rPr>
          <w:rFonts w:ascii="Arial" w:hAnsi="Arial"/>
          <w:lang w:val="en-GB"/>
        </w:rPr>
        <w:t>The schools have no first aid box,  some schools have few refuse pits.</w:t>
      </w:r>
    </w:p>
    <w:p>
      <w:pPr>
        <w:pStyle w:val="style37"/>
        <w:numPr>
          <w:ilvl w:val="0"/>
          <w:numId w:val="21"/>
        </w:numPr>
        <w:jc w:val="both"/>
      </w:pPr>
      <w:r>
        <w:rPr>
          <w:rFonts w:ascii="Arial" w:hAnsi="Arial"/>
          <w:lang w:val="en-GB"/>
        </w:rPr>
        <w:t>Some recreation area has tall grass and uneven surfaces which is prone to cause accidents.</w:t>
      </w:r>
    </w:p>
    <w:p>
      <w:pPr>
        <w:pStyle w:val="style0"/>
        <w:jc w:val="both"/>
      </w:pPr>
      <w:r>
        <w:rPr>
          <w:rFonts w:ascii="Arial" w:hAnsi="Arial"/>
          <w:sz w:val="22"/>
          <w:szCs w:val="22"/>
          <w:lang w:val="en-GB"/>
        </w:rPr>
        <w:t>PROBLEM IDENTIFIED FROM PHYSICAL ASSESSMENTS</w:t>
      </w:r>
    </w:p>
    <w:p>
      <w:pPr>
        <w:sectPr>
          <w:type w:val="nextPage"/>
          <w:pgSz w:h="16820" w:w="11906"/>
          <w:pgMar w:bottom="1440" w:footer="0" w:gutter="0" w:header="0" w:left="1134" w:right="1134" w:top="1440"/>
          <w:pgNumType w:fmt="decimal"/>
          <w:formProt w:val="false"/>
          <w:textDirection w:val="lrTb"/>
          <w:docGrid w:charSpace="8192" w:linePitch="360" w:type="default"/>
        </w:sectPr>
      </w:pPr>
    </w:p>
    <w:p>
      <w:pPr>
        <w:pStyle w:val="style37"/>
        <w:numPr>
          <w:ilvl w:val="0"/>
          <w:numId w:val="22"/>
        </w:numPr>
        <w:jc w:val="both"/>
      </w:pPr>
      <w:r>
        <w:rPr>
          <w:rFonts w:ascii="Arial" w:hAnsi="Arial"/>
          <w:lang w:val="en-GB"/>
        </w:rPr>
        <w:t>Tooth decays</w:t>
      </w:r>
    </w:p>
    <w:p>
      <w:pPr>
        <w:pStyle w:val="style37"/>
        <w:numPr>
          <w:ilvl w:val="0"/>
          <w:numId w:val="22"/>
        </w:numPr>
        <w:jc w:val="both"/>
      </w:pPr>
      <w:r>
        <w:rPr>
          <w:rFonts w:ascii="Arial" w:hAnsi="Arial"/>
          <w:lang w:val="en-GB"/>
        </w:rPr>
        <w:t>Extra teeth</w:t>
      </w:r>
    </w:p>
    <w:p>
      <w:pPr>
        <w:pStyle w:val="style37"/>
        <w:numPr>
          <w:ilvl w:val="0"/>
          <w:numId w:val="22"/>
        </w:numPr>
        <w:jc w:val="both"/>
      </w:pPr>
      <w:r>
        <w:rPr>
          <w:rFonts w:ascii="Arial" w:hAnsi="Arial"/>
          <w:lang w:val="en-GB"/>
        </w:rPr>
        <w:t>Body Hygiene</w:t>
      </w:r>
    </w:p>
    <w:p>
      <w:pPr>
        <w:pStyle w:val="style37"/>
        <w:numPr>
          <w:ilvl w:val="0"/>
          <w:numId w:val="22"/>
        </w:numPr>
        <w:jc w:val="both"/>
      </w:pPr>
      <w:r>
        <w:rPr>
          <w:rFonts w:ascii="Arial" w:hAnsi="Arial"/>
          <w:lang w:val="en-GB"/>
        </w:rPr>
        <w:t xml:space="preserve"> </w:t>
      </w:r>
      <w:r>
        <w:rPr>
          <w:rFonts w:ascii="Arial" w:hAnsi="Arial"/>
          <w:lang w:val="en-GB"/>
        </w:rPr>
        <w:t>Wounds</w:t>
      </w:r>
    </w:p>
    <w:p>
      <w:pPr>
        <w:pStyle w:val="style37"/>
        <w:numPr>
          <w:ilvl w:val="0"/>
          <w:numId w:val="22"/>
        </w:numPr>
        <w:jc w:val="both"/>
      </w:pPr>
      <w:r>
        <w:rPr>
          <w:rFonts w:ascii="Arial" w:hAnsi="Arial"/>
          <w:lang w:val="en-GB"/>
        </w:rPr>
        <w:t>Body rash and body sores</w:t>
      </w:r>
    </w:p>
    <w:p>
      <w:pPr>
        <w:pStyle w:val="style37"/>
        <w:numPr>
          <w:ilvl w:val="0"/>
          <w:numId w:val="22"/>
        </w:numPr>
        <w:jc w:val="both"/>
      </w:pPr>
      <w:r>
        <w:rPr>
          <w:rFonts w:ascii="Arial" w:hAnsi="Arial"/>
          <w:lang w:val="en-GB"/>
        </w:rPr>
        <w:t>Tinea Capitis</w:t>
      </w:r>
    </w:p>
    <w:p>
      <w:pPr>
        <w:pStyle w:val="style37"/>
        <w:numPr>
          <w:ilvl w:val="0"/>
          <w:numId w:val="22"/>
        </w:numPr>
        <w:jc w:val="both"/>
      </w:pPr>
      <w:r>
        <w:rPr>
          <w:rFonts w:ascii="Arial" w:hAnsi="Arial"/>
          <w:lang w:val="en-GB"/>
        </w:rPr>
        <w:t>Otitis media</w:t>
      </w:r>
    </w:p>
    <w:p>
      <w:pPr>
        <w:pStyle w:val="style37"/>
        <w:numPr>
          <w:ilvl w:val="0"/>
          <w:numId w:val="22"/>
        </w:numPr>
        <w:jc w:val="both"/>
      </w:pPr>
      <w:r>
        <w:rPr>
          <w:rFonts w:ascii="Arial" w:hAnsi="Arial"/>
          <w:lang w:val="en-GB"/>
        </w:rPr>
        <w:t>HIV positive pupils</w:t>
      </w:r>
    </w:p>
    <w:p>
      <w:pPr>
        <w:pStyle w:val="style37"/>
        <w:numPr>
          <w:ilvl w:val="0"/>
          <w:numId w:val="22"/>
        </w:numPr>
        <w:jc w:val="both"/>
      </w:pPr>
      <w:r>
        <w:rPr>
          <w:rFonts w:ascii="Arial" w:hAnsi="Arial"/>
          <w:lang w:val="en-GB"/>
        </w:rPr>
        <w:t>Fever</w:t>
      </w:r>
    </w:p>
    <w:p>
      <w:pPr>
        <w:pStyle w:val="style37"/>
        <w:numPr>
          <w:ilvl w:val="0"/>
          <w:numId w:val="22"/>
        </w:numPr>
        <w:jc w:val="both"/>
      </w:pPr>
      <w:r>
        <w:rPr>
          <w:rFonts w:ascii="Arial" w:hAnsi="Arial"/>
          <w:lang w:val="en-GB"/>
        </w:rPr>
        <w:t>Headche</w:t>
      </w:r>
    </w:p>
    <w:p>
      <w:pPr>
        <w:pStyle w:val="style37"/>
        <w:numPr>
          <w:ilvl w:val="0"/>
          <w:numId w:val="22"/>
        </w:numPr>
        <w:jc w:val="both"/>
      </w:pPr>
      <w:r>
        <w:rPr>
          <w:rFonts w:ascii="Arial" w:hAnsi="Arial"/>
          <w:lang w:val="en-GB"/>
        </w:rPr>
        <w:t>Abdominal pains</w:t>
      </w:r>
    </w:p>
    <w:p>
      <w:pPr>
        <w:pStyle w:val="style37"/>
        <w:numPr>
          <w:ilvl w:val="0"/>
          <w:numId w:val="22"/>
        </w:numPr>
        <w:jc w:val="both"/>
      </w:pPr>
      <w:r>
        <w:rPr>
          <w:rFonts w:ascii="Arial" w:hAnsi="Arial"/>
          <w:lang w:val="en-GB"/>
        </w:rPr>
        <w:t>Body hygiene</w:t>
      </w:r>
    </w:p>
    <w:p>
      <w:pPr>
        <w:pStyle w:val="style37"/>
        <w:numPr>
          <w:ilvl w:val="0"/>
          <w:numId w:val="22"/>
        </w:numPr>
        <w:jc w:val="both"/>
      </w:pPr>
      <w:r>
        <w:rPr>
          <w:rFonts w:ascii="Arial" w:hAnsi="Arial"/>
          <w:lang w:val="en-GB"/>
        </w:rPr>
        <w:t>Pupils coming to school without breakfast.</w:t>
      </w:r>
    </w:p>
    <w:p>
      <w:pPr>
        <w:pStyle w:val="style37"/>
        <w:jc w:val="both"/>
      </w:pPr>
      <w:r>
        <w:rPr/>
      </w:r>
    </w:p>
    <w:p>
      <w:pPr>
        <w:sectPr>
          <w:type w:val="continuous"/>
          <w:pgSz w:h="16820" w:w="11906"/>
          <w:pgMar w:bottom="1440" w:footer="0" w:gutter="0" w:header="0" w:left="1134" w:right="1134" w:top="1440"/>
          <w:cols w:equalWidth="true" w:num="2" w:sep="true" w:space="708"/>
          <w:formProt w:val="false"/>
          <w:textDirection w:val="lrTb"/>
          <w:docGrid w:charSpace="8192" w:linePitch="360" w:type="default"/>
        </w:sectPr>
      </w:pPr>
    </w:p>
    <w:p>
      <w:pPr>
        <w:pStyle w:val="style0"/>
        <w:jc w:val="both"/>
      </w:pPr>
      <w:r>
        <w:rPr/>
      </w:r>
    </w:p>
    <w:p>
      <w:pPr>
        <w:pStyle w:val="style0"/>
        <w:jc w:val="both"/>
      </w:pPr>
      <w:r>
        <w:rPr>
          <w:rFonts w:ascii="Arial" w:hAnsi="Arial"/>
          <w:sz w:val="22"/>
          <w:szCs w:val="22"/>
          <w:lang w:val="en-GB"/>
        </w:rPr>
        <w:t>IMMEDIATE SOLUTIONS FROM THE FEEDBACK</w:t>
      </w:r>
    </w:p>
    <w:p>
      <w:pPr>
        <w:pStyle w:val="style0"/>
        <w:jc w:val="both"/>
      </w:pPr>
      <w:r>
        <w:rPr>
          <w:rFonts w:ascii="Arial" w:hAnsi="Arial"/>
          <w:lang w:val="en-GB"/>
        </w:rPr>
        <w:t>Mulanje Mission Hospital through PHC Department offered first aid box starter packs to all primary schools and agreed that the school together with the school committees will refill it whenever there is stock out of drugs and materials in the box.</w:t>
      </w:r>
    </w:p>
    <w:p>
      <w:pPr>
        <w:pStyle w:val="style0"/>
        <w:jc w:val="both"/>
      </w:pPr>
      <w:r>
        <w:rPr>
          <w:rFonts w:ascii="Arial" w:hAnsi="Arial"/>
          <w:lang w:val="en-GB"/>
        </w:rPr>
      </w:r>
    </w:p>
    <w:p>
      <w:pPr>
        <w:pStyle w:val="style0"/>
        <w:jc w:val="both"/>
      </w:pPr>
      <w:r>
        <w:rPr>
          <w:rFonts w:ascii="Arial" w:hAnsi="Arial"/>
          <w:lang w:val="en-GB"/>
        </w:rPr>
      </w:r>
    </w:p>
    <w:p>
      <w:pPr>
        <w:pStyle w:val="style0"/>
        <w:jc w:val="both"/>
      </w:pPr>
      <w:r>
        <w:rPr/>
        <w:drawing>
          <wp:inline distB="0" distL="0" distR="0" distT="0">
            <wp:extent cx="1962785" cy="1471930"/>
            <wp:effectExtent b="0" l="0" r="0" t="0"/>
            <wp:docPr descr="H:\DSC02558.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DSC02558.JPG" id="4" name="Picture"/>
                    <pic:cNvPicPr>
                      <a:picLocks noChangeArrowheads="1" noChangeAspect="1"/>
                    </pic:cNvPicPr>
                  </pic:nvPicPr>
                  <pic:blipFill>
                    <a:blip r:embed="rId6"/>
                    <a:srcRect/>
                    <a:stretch>
                      <a:fillRect/>
                    </a:stretch>
                  </pic:blipFill>
                  <pic:spPr bwMode="auto">
                    <a:xfrm>
                      <a:off x="0" y="0"/>
                      <a:ext cx="1962785" cy="1471930"/>
                    </a:xfrm>
                    <a:prstGeom prst="rect">
                      <a:avLst/>
                    </a:prstGeom>
                    <a:noFill/>
                    <a:ln w="9525">
                      <a:noFill/>
                      <a:miter lim="800000"/>
                      <a:headEnd/>
                      <a:tailEnd/>
                    </a:ln>
                  </pic:spPr>
                </pic:pic>
              </a:graphicData>
            </a:graphic>
          </wp:inline>
        </w:drawing>
      </w:r>
    </w:p>
    <w:p>
      <w:pPr>
        <w:pStyle w:val="style37"/>
        <w:keepNext/>
        <w:jc w:val="both"/>
      </w:pPr>
      <w:r>
        <w:rPr>
          <w:rFonts w:ascii="Arial" w:hAnsi="Arial"/>
        </w:rPr>
        <w:t xml:space="preserve">Figure </w:t>
      </w:r>
      <w:r>
        <w:rPr>
          <w:rFonts w:ascii="Arial" w:hAnsi="Arial"/>
        </w:rPr>
        <w:fldChar w:fldCharType="begin"/>
      </w:r>
      <w:r>
        <w:instrText> SEQ "Figure" \*Arabic </w:instrText>
      </w:r>
      <w:r>
        <w:fldChar w:fldCharType="separate"/>
      </w:r>
      <w:r>
        <w:t>3</w:t>
      </w:r>
      <w:r>
        <w:fldChar w:fldCharType="end"/>
      </w:r>
      <w:r>
        <w:rPr>
          <w:rFonts w:ascii="Arial" w:hAnsi="Arial"/>
        </w:rPr>
        <w:t xml:space="preserve"> Handing over a drug box to the headmaster</w:t>
      </w:r>
    </w:p>
    <w:p>
      <w:pPr>
        <w:pStyle w:val="style41"/>
        <w:spacing w:after="120" w:before="0"/>
        <w:contextualSpacing w:val="false"/>
      </w:pPr>
      <w:r>
        <w:rPr/>
      </w:r>
    </w:p>
    <w:p>
      <w:pPr>
        <w:pStyle w:val="style0"/>
        <w:jc w:val="both"/>
      </w:pPr>
      <w:r>
        <w:rPr>
          <w:rFonts w:ascii="Arial" w:hAnsi="Arial"/>
          <w:lang w:val="en-GB"/>
        </w:rPr>
      </w:r>
    </w:p>
    <w:p>
      <w:pPr>
        <w:pStyle w:val="style37"/>
        <w:numPr>
          <w:ilvl w:val="0"/>
          <w:numId w:val="23"/>
        </w:numPr>
        <w:jc w:val="both"/>
      </w:pPr>
      <w:r>
        <w:rPr>
          <w:rFonts w:ascii="Arial" w:hAnsi="Arial"/>
          <w:lang w:val="en-GB"/>
        </w:rPr>
        <w:t>First aid treatment should be given to pupils when in need.</w:t>
      </w:r>
    </w:p>
    <w:p>
      <w:pPr>
        <w:pStyle w:val="style37"/>
        <w:numPr>
          <w:ilvl w:val="0"/>
          <w:numId w:val="23"/>
        </w:numPr>
        <w:jc w:val="both"/>
      </w:pPr>
      <w:r>
        <w:rPr>
          <w:rFonts w:ascii="Arial" w:hAnsi="Arial"/>
          <w:lang w:val="en-GB"/>
        </w:rPr>
        <w:t>Health Surveillance Assistants should provide chlorine to be used when cleaning the toilets.</w:t>
      </w:r>
    </w:p>
    <w:p>
      <w:pPr>
        <w:pStyle w:val="style37"/>
        <w:numPr>
          <w:ilvl w:val="0"/>
          <w:numId w:val="23"/>
        </w:numPr>
        <w:jc w:val="both"/>
      </w:pPr>
      <w:r>
        <w:rPr>
          <w:rFonts w:ascii="Arial" w:hAnsi="Arial"/>
          <w:lang w:val="en-GB"/>
        </w:rPr>
        <w:t>Use of protective wear like gloves, aprons and facial masks when cleaning the toilets.</w:t>
      </w:r>
    </w:p>
    <w:p>
      <w:pPr>
        <w:pStyle w:val="style37"/>
        <w:numPr>
          <w:ilvl w:val="0"/>
          <w:numId w:val="23"/>
        </w:numPr>
        <w:jc w:val="both"/>
      </w:pPr>
      <w:r>
        <w:rPr>
          <w:rFonts w:ascii="Arial" w:hAnsi="Arial"/>
          <w:lang w:val="en-GB"/>
        </w:rPr>
        <w:t xml:space="preserve">Counselling on body hygiene and giving breakfast to pupils was done to parents who came </w:t>
      </w:r>
    </w:p>
    <w:p>
      <w:pPr>
        <w:pStyle w:val="style37"/>
        <w:numPr>
          <w:ilvl w:val="0"/>
          <w:numId w:val="23"/>
        </w:numPr>
        <w:jc w:val="both"/>
      </w:pPr>
      <w:r>
        <w:rPr>
          <w:rFonts w:ascii="Arial" w:hAnsi="Arial"/>
          <w:lang w:val="en-GB"/>
        </w:rPr>
        <w:t>Treatment was given to pupils who had fever, abdominal pains and headache and wound dressing was done to pupils who had wounds.</w:t>
      </w:r>
    </w:p>
    <w:p>
      <w:pPr>
        <w:pStyle w:val="style37"/>
        <w:numPr>
          <w:ilvl w:val="0"/>
          <w:numId w:val="23"/>
        </w:numPr>
        <w:jc w:val="both"/>
      </w:pPr>
      <w:r>
        <w:rPr>
          <w:rFonts w:ascii="Arial" w:hAnsi="Arial"/>
          <w:lang w:val="en-GB"/>
        </w:rPr>
        <w:t>All HIV positive pupils were verified through their parents that all are on ART.</w:t>
      </w:r>
    </w:p>
    <w:p>
      <w:pPr>
        <w:pStyle w:val="style37"/>
        <w:numPr>
          <w:ilvl w:val="0"/>
          <w:numId w:val="23"/>
        </w:numPr>
        <w:jc w:val="both"/>
      </w:pPr>
      <w:r>
        <w:rPr>
          <w:rFonts w:ascii="Arial" w:hAnsi="Arial"/>
          <w:lang w:val="en-GB"/>
        </w:rPr>
        <w:t xml:space="preserve">Health education on proper cleaning of teeth and to avoid eating sweets and biscuits to prevent tooth decay was done. Parents were advised to buy tooth brushes for their children </w:t>
      </w:r>
    </w:p>
    <w:p>
      <w:pPr>
        <w:pStyle w:val="style37"/>
        <w:numPr>
          <w:ilvl w:val="0"/>
          <w:numId w:val="23"/>
        </w:numPr>
        <w:jc w:val="both"/>
      </w:pPr>
      <w:r>
        <w:rPr>
          <w:rFonts w:ascii="Arial" w:hAnsi="Arial"/>
          <w:lang w:val="en-GB"/>
        </w:rPr>
        <w:t>Those with major ailments like severe tooth decay, extra teeth, large wounds were referred to hospital for further management.</w:t>
      </w:r>
    </w:p>
    <w:p>
      <w:pPr>
        <w:pStyle w:val="style37"/>
        <w:numPr>
          <w:ilvl w:val="0"/>
          <w:numId w:val="23"/>
        </w:numPr>
        <w:jc w:val="both"/>
      </w:pPr>
      <w:r>
        <w:rPr>
          <w:rFonts w:ascii="Arial" w:hAnsi="Arial"/>
          <w:lang w:val="en-GB"/>
        </w:rPr>
        <w:t>The school ground should be slashed, remove stones and levelling to prevent accidents.</w:t>
      </w:r>
    </w:p>
    <w:p>
      <w:pPr>
        <w:pStyle w:val="style37"/>
        <w:numPr>
          <w:ilvl w:val="0"/>
          <w:numId w:val="23"/>
        </w:numPr>
        <w:jc w:val="both"/>
      </w:pPr>
      <w:r>
        <w:rPr>
          <w:rFonts w:ascii="Arial" w:hAnsi="Arial"/>
          <w:lang w:val="en-GB"/>
        </w:rPr>
        <w:t>General hygiene of the school premises including school markets should be re inforce by the headmaster and teachers.</w:t>
      </w:r>
    </w:p>
    <w:p>
      <w:pPr>
        <w:pStyle w:val="style0"/>
        <w:numPr>
          <w:ilvl w:val="0"/>
          <w:numId w:val="22"/>
        </w:numPr>
        <w:jc w:val="both"/>
      </w:pPr>
      <w:r>
        <w:rPr>
          <w:rFonts w:ascii="Arial" w:hAnsi="Arial"/>
          <w:sz w:val="22"/>
          <w:szCs w:val="22"/>
          <w:lang w:val="en-GB"/>
        </w:rPr>
        <w:t>LONG TERM SOLUTIONS</w:t>
      </w:r>
    </w:p>
    <w:p>
      <w:pPr>
        <w:pStyle w:val="style0"/>
        <w:numPr>
          <w:ilvl w:val="0"/>
          <w:numId w:val="22"/>
        </w:numPr>
        <w:jc w:val="both"/>
      </w:pPr>
      <w:r>
        <w:rPr>
          <w:rFonts w:ascii="Arial" w:hAnsi="Arial"/>
          <w:sz w:val="22"/>
          <w:szCs w:val="22"/>
          <w:lang w:val="en-GB"/>
        </w:rPr>
        <w:t>The headmaster assured the group that he will continue to lobby for learning materials to improve their teaching standards.</w:t>
      </w:r>
    </w:p>
    <w:p>
      <w:pPr>
        <w:pStyle w:val="style0"/>
        <w:numPr>
          <w:ilvl w:val="0"/>
          <w:numId w:val="22"/>
        </w:numPr>
        <w:jc w:val="both"/>
      </w:pPr>
      <w:r>
        <w:rPr>
          <w:rFonts w:ascii="Arial" w:hAnsi="Arial"/>
          <w:sz w:val="22"/>
          <w:szCs w:val="22"/>
          <w:lang w:val="en-GB"/>
        </w:rPr>
        <w:t>The headmaster assured the group that he will continue to lobby for more teachers and also to balance the gender among the teachers.</w:t>
      </w:r>
    </w:p>
    <w:p>
      <w:pPr>
        <w:pStyle w:val="style0"/>
        <w:numPr>
          <w:ilvl w:val="0"/>
          <w:numId w:val="22"/>
        </w:numPr>
        <w:jc w:val="both"/>
      </w:pPr>
      <w:bookmarkStart w:id="43" w:name="_Toc113883274"/>
      <w:r>
        <w:rPr>
          <w:rFonts w:ascii="Arial" w:hAnsi="Arial"/>
          <w:sz w:val="22"/>
          <w:szCs w:val="22"/>
          <w:lang w:val="en-GB"/>
        </w:rPr>
        <w:t>The school management and the community should find ways of finding desks, doors for the toilets and building teacher’s houses from the education authorities and other stakeholders</w:t>
      </w:r>
    </w:p>
    <w:p>
      <w:pPr>
        <w:pStyle w:val="style0"/>
        <w:jc w:val="both"/>
      </w:pPr>
      <w:r>
        <w:rPr>
          <w:rFonts w:ascii="Arial" w:hAnsi="Arial"/>
          <w:bCs/>
          <w:sz w:val="22"/>
          <w:szCs w:val="22"/>
        </w:rPr>
      </w:r>
    </w:p>
    <w:p>
      <w:pPr>
        <w:pStyle w:val="style0"/>
        <w:jc w:val="both"/>
      </w:pPr>
      <w:r>
        <w:rPr>
          <w:rFonts w:ascii="Arial" w:hAnsi="Arial"/>
          <w:bCs/>
          <w:sz w:val="22"/>
          <w:szCs w:val="22"/>
        </w:rPr>
      </w:r>
    </w:p>
    <w:p>
      <w:pPr>
        <w:pStyle w:val="style0"/>
        <w:jc w:val="both"/>
      </w:pPr>
      <w:r>
        <w:rPr>
          <w:rFonts w:ascii="Arial" w:hAnsi="Arial"/>
          <w:bCs/>
          <w:sz w:val="22"/>
          <w:szCs w:val="22"/>
        </w:rPr>
      </w:r>
    </w:p>
    <w:p>
      <w:pPr>
        <w:pStyle w:val="style0"/>
        <w:jc w:val="both"/>
      </w:pPr>
      <w:r>
        <w:rPr>
          <w:rFonts w:ascii="Arial" w:hAnsi="Arial"/>
          <w:bCs/>
          <w:sz w:val="22"/>
          <w:szCs w:val="22"/>
        </w:rPr>
        <w:t>11.</w:t>
      </w:r>
      <w:bookmarkEnd w:id="43"/>
      <w:r>
        <w:rPr>
          <w:rFonts w:ascii="Arial" w:hAnsi="Arial"/>
          <w:bCs/>
          <w:sz w:val="22"/>
          <w:szCs w:val="22"/>
        </w:rPr>
        <w:tab/>
      </w:r>
      <w:r>
        <w:rPr>
          <w:rFonts w:ascii="Arial" w:hAnsi="Arial"/>
          <w:sz w:val="22"/>
          <w:szCs w:val="22"/>
        </w:rPr>
        <w:t>NUTRITION</w:t>
      </w:r>
    </w:p>
    <w:p>
      <w:pPr>
        <w:pStyle w:val="style35"/>
      </w:pPr>
      <w:r>
        <w:rPr>
          <w:rFonts w:ascii="Arial" w:hAnsi="Arial"/>
          <w:color w:val="00000A"/>
          <w:sz w:val="22"/>
          <w:szCs w:val="22"/>
        </w:rPr>
      </w:r>
    </w:p>
    <w:tbl>
      <w:tblPr>
        <w:jc w:val="center"/>
        <w:tblInd w:type="dxa" w:w="113"/>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1379"/>
        <w:gridCol w:w="2573"/>
        <w:gridCol w:w="2812"/>
      </w:tblGrid>
      <w:tr>
        <w:trPr>
          <w:trHeight w:hRule="atLeast" w:val="539"/>
          <w:cantSplit w:val="true"/>
        </w:trPr>
        <w:tc>
          <w:tcPr>
            <w:tcW w:type="dxa" w:w="1379"/>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bCs/>
                <w:sz w:val="22"/>
                <w:szCs w:val="22"/>
                <w:lang w:val="en-GB"/>
              </w:rPr>
              <w:t xml:space="preserve">Months </w:t>
            </w:r>
          </w:p>
        </w:tc>
        <w:tc>
          <w:tcPr>
            <w:tcW w:type="dxa" w:w="2573"/>
            <w:gridSpan w:val="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bCs/>
                <w:sz w:val="22"/>
                <w:szCs w:val="22"/>
                <w:lang w:val="en-GB"/>
              </w:rPr>
              <w:t>NRU</w:t>
            </w:r>
          </w:p>
          <w:p>
            <w:pPr>
              <w:pStyle w:val="style0"/>
              <w:jc w:val="both"/>
            </w:pPr>
            <w:r>
              <w:rPr>
                <w:rFonts w:ascii="Arial" w:hAnsi="Arial"/>
                <w:b/>
                <w:bCs/>
                <w:sz w:val="22"/>
                <w:szCs w:val="22"/>
                <w:lang w:val="en-GB"/>
              </w:rPr>
              <w:t>(severe malnutrition)</w:t>
            </w:r>
          </w:p>
        </w:tc>
        <w:tc>
          <w:tcPr>
            <w:tcW w:type="dxa" w:w="2812"/>
            <w:gridSpan w:val="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bCs/>
                <w:sz w:val="22"/>
                <w:szCs w:val="22"/>
                <w:lang w:val="en-GB"/>
              </w:rPr>
              <w:t>Supplementary</w:t>
            </w:r>
          </w:p>
          <w:p>
            <w:pPr>
              <w:pStyle w:val="style0"/>
              <w:jc w:val="both"/>
            </w:pPr>
            <w:r>
              <w:rPr>
                <w:rFonts w:ascii="Arial" w:hAnsi="Arial"/>
                <w:b/>
                <w:bCs/>
                <w:sz w:val="22"/>
                <w:szCs w:val="22"/>
                <w:lang w:val="en-GB"/>
              </w:rPr>
              <w:t>(moderate malnutrition)</w:t>
            </w:r>
          </w:p>
        </w:tc>
      </w:tr>
      <w:tr>
        <w:trPr>
          <w:trHeight w:hRule="atLeast" w:val="213"/>
          <w:cantSplit w:val="true"/>
        </w:trPr>
        <w:tc>
          <w:tcPr>
            <w:tcW w:type="dxa" w:w="1379"/>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jc w:val="both"/>
            </w:pPr>
            <w:r>
              <w:rPr>
                <w:rFonts w:ascii="Arial" w:hAnsi="Arial"/>
                <w:b/>
                <w:bCs/>
                <w:sz w:val="22"/>
                <w:szCs w:val="22"/>
                <w:lang w:val="en-GB"/>
              </w:rPr>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2012-2013</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2013-2014</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2012-2013</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sz w:val="22"/>
                <w:szCs w:val="22"/>
              </w:rPr>
              <w:t>2013-2014</w:t>
            </w:r>
          </w:p>
        </w:tc>
      </w:tr>
      <w:tr>
        <w:trPr>
          <w:cantSplit w:val="tru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 xml:space="preserve">July </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5</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3</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13</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5</w:t>
            </w:r>
          </w:p>
        </w:tc>
      </w:tr>
      <w:tr>
        <w:trPr>
          <w:trHeight w:hRule="atLeast" w:val="111"/>
          <w:cantSplit w:val="tru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August</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3</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13</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18</w:t>
            </w:r>
          </w:p>
        </w:tc>
      </w:tr>
      <w:tr>
        <w:trPr>
          <w:cantSplit w:val="tru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September</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7</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6</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15</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7</w:t>
            </w:r>
          </w:p>
        </w:tc>
      </w:tr>
      <w:tr>
        <w:trPr>
          <w:cantSplit w:val="tru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October</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6</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4</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18</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14</w:t>
            </w:r>
          </w:p>
        </w:tc>
      </w:tr>
      <w:tr>
        <w:trPr>
          <w:cantSplit w:val="tru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November</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7</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2</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7</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18</w:t>
            </w:r>
          </w:p>
        </w:tc>
      </w:tr>
      <w:tr>
        <w:trPr>
          <w:cantSplit w:val="tru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December</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5</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3</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12</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10</w:t>
            </w:r>
          </w:p>
        </w:tc>
      </w:tr>
      <w:tr>
        <w:trPr>
          <w:cantSplit w:val="fals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January</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11</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5</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15</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Cs/>
                <w:sz w:val="22"/>
                <w:szCs w:val="22"/>
                <w:lang w:val="en-GB"/>
              </w:rPr>
              <w:t>21</w:t>
            </w:r>
          </w:p>
        </w:tc>
      </w:tr>
      <w:tr>
        <w:trPr>
          <w:cantSplit w:val="fals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February</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8</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5</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20</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15</w:t>
            </w:r>
          </w:p>
        </w:tc>
      </w:tr>
      <w:tr>
        <w:trPr>
          <w:cantSplit w:val="fals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March</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7</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7</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13</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15</w:t>
            </w:r>
          </w:p>
        </w:tc>
      </w:tr>
      <w:tr>
        <w:trPr>
          <w:cantSplit w:val="fals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April</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7</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8</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14</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29</w:t>
            </w:r>
          </w:p>
        </w:tc>
      </w:tr>
      <w:tr>
        <w:trPr>
          <w:cantSplit w:val="fals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May</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2</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8</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7</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12</w:t>
            </w:r>
          </w:p>
        </w:tc>
      </w:tr>
      <w:tr>
        <w:trPr>
          <w:cantSplit w:val="fals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sz w:val="22"/>
                <w:szCs w:val="22"/>
                <w:lang w:val="en-GB"/>
              </w:rPr>
              <w:t>June</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2</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4</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5</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sz w:val="22"/>
                <w:szCs w:val="22"/>
                <w:lang w:val="en-GB"/>
              </w:rPr>
              <w:t>12</w:t>
            </w:r>
          </w:p>
        </w:tc>
      </w:tr>
      <w:tr>
        <w:trPr>
          <w:cantSplit w:val="false"/>
        </w:trPr>
        <w:tc>
          <w:tcPr>
            <w:tcW w:type="dxa" w:w="137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ascii="Arial" w:hAnsi="Arial"/>
                <w:b/>
                <w:bCs/>
                <w:sz w:val="22"/>
                <w:szCs w:val="22"/>
                <w:lang w:val="en-GB"/>
              </w:rPr>
              <w:t>Total</w:t>
            </w:r>
          </w:p>
        </w:tc>
        <w:tc>
          <w:tcPr>
            <w:tcW w:type="dxa" w:w="12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
                <w:bCs/>
                <w:sz w:val="22"/>
                <w:szCs w:val="22"/>
                <w:lang w:val="en-GB"/>
              </w:rPr>
              <w:t>70</w:t>
            </w:r>
          </w:p>
        </w:tc>
        <w:tc>
          <w:tcPr>
            <w:tcW w:type="dxa" w:w="12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
                <w:bCs/>
                <w:sz w:val="22"/>
                <w:szCs w:val="22"/>
                <w:lang w:val="en-GB"/>
              </w:rPr>
              <w:t>56</w:t>
            </w:r>
          </w:p>
        </w:tc>
        <w:tc>
          <w:tcPr>
            <w:tcW w:type="dxa" w:w="14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
                <w:bCs/>
                <w:sz w:val="22"/>
                <w:szCs w:val="22"/>
                <w:lang w:val="en-GB"/>
              </w:rPr>
              <w:t>152</w:t>
            </w:r>
          </w:p>
        </w:tc>
        <w:tc>
          <w:tcPr>
            <w:tcW w:type="dxa" w:w="139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ascii="Arial" w:hAnsi="Arial"/>
                <w:b/>
                <w:bCs/>
                <w:sz w:val="22"/>
                <w:szCs w:val="22"/>
                <w:lang w:val="en-GB"/>
              </w:rPr>
              <w:t>176</w:t>
            </w:r>
          </w:p>
        </w:tc>
      </w:tr>
    </w:tbl>
    <w:p>
      <w:pPr>
        <w:pStyle w:val="style0"/>
        <w:jc w:val="both"/>
      </w:pPr>
      <w:r>
        <w:rPr>
          <w:rFonts w:ascii="Arial" w:hAnsi="Arial"/>
          <w:sz w:val="22"/>
          <w:szCs w:val="22"/>
          <w:lang w:val="en-GB"/>
        </w:rPr>
      </w:r>
    </w:p>
    <w:p>
      <w:pPr>
        <w:pStyle w:val="style0"/>
        <w:jc w:val="both"/>
      </w:pPr>
      <w:r>
        <w:rPr>
          <w:rFonts w:ascii="Arial" w:hAnsi="Arial"/>
          <w:b/>
          <w:sz w:val="22"/>
          <w:szCs w:val="22"/>
        </w:rPr>
        <w:t xml:space="preserve"> </w:t>
      </w:r>
    </w:p>
    <w:p>
      <w:pPr>
        <w:pStyle w:val="style0"/>
        <w:jc w:val="both"/>
      </w:pPr>
      <w:r>
        <w:rPr>
          <w:rFonts w:ascii="Arial" w:hAnsi="Arial"/>
          <w:b/>
          <w:sz w:val="22"/>
          <w:szCs w:val="22"/>
        </w:rPr>
      </w:r>
    </w:p>
    <w:p>
      <w:pPr>
        <w:pStyle w:val="style0"/>
        <w:jc w:val="both"/>
      </w:pPr>
      <w:r>
        <w:rPr>
          <w:rFonts w:ascii="Arial" w:hAnsi="Arial"/>
          <w:b/>
          <w:sz w:val="22"/>
          <w:szCs w:val="22"/>
        </w:rPr>
        <w:t>FOOD SECURITY</w:t>
      </w:r>
    </w:p>
    <w:p>
      <w:pPr>
        <w:pStyle w:val="style0"/>
        <w:jc w:val="both"/>
      </w:pPr>
      <w:r>
        <w:rPr>
          <w:rFonts w:ascii="Arial" w:hAnsi="Arial"/>
          <w:sz w:val="22"/>
          <w:szCs w:val="22"/>
        </w:rPr>
        <w:t>This is a section of PHC that looks at availability food in households mostly those that are vulnerable. In this reporting year the following were activities that were done to achieve this objective</w:t>
      </w:r>
    </w:p>
    <w:p>
      <w:pPr>
        <w:pStyle w:val="style0"/>
        <w:numPr>
          <w:ilvl w:val="0"/>
          <w:numId w:val="8"/>
        </w:numPr>
        <w:spacing w:after="200" w:before="0" w:line="276" w:lineRule="auto"/>
        <w:contextualSpacing w:val="false"/>
        <w:jc w:val="both"/>
      </w:pPr>
      <w:r>
        <w:rPr>
          <w:rFonts w:ascii="Arial" w:hAnsi="Arial"/>
          <w:sz w:val="22"/>
          <w:szCs w:val="22"/>
        </w:rPr>
        <w:t>27 Volunteers were identified to receive daily goats and so far 16 livestock kraals have been constructed and 5 people have received daily goats.</w:t>
      </w:r>
    </w:p>
    <w:p>
      <w:pPr>
        <w:pStyle w:val="style0"/>
        <w:numPr>
          <w:ilvl w:val="0"/>
          <w:numId w:val="22"/>
        </w:numPr>
        <w:spacing w:after="200" w:before="0" w:line="276" w:lineRule="auto"/>
        <w:ind w:hanging="0" w:left="720" w:right="0"/>
        <w:contextualSpacing w:val="false"/>
        <w:jc w:val="both"/>
      </w:pPr>
      <w:r>
        <w:rPr/>
        <w:drawing>
          <wp:inline distB="0" distL="0" distR="0" distT="0">
            <wp:extent cx="1919605" cy="1438275"/>
            <wp:effectExtent b="0" l="0" r="0" t="0"/>
            <wp:docPr descr="field%20%20%20FOOD%20SECURITY%20PROGRAMME%20066"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eld%20%20%20FOOD%20SECURITY%20PROGRAMME%20066" id="5" name="Picture"/>
                    <pic:cNvPicPr>
                      <a:picLocks noChangeArrowheads="1" noChangeAspect="1"/>
                    </pic:cNvPicPr>
                  </pic:nvPicPr>
                  <pic:blipFill>
                    <a:blip r:embed="rId7"/>
                    <a:srcRect/>
                    <a:stretch>
                      <a:fillRect/>
                    </a:stretch>
                  </pic:blipFill>
                  <pic:spPr bwMode="auto">
                    <a:xfrm>
                      <a:off x="0" y="0"/>
                      <a:ext cx="1919605" cy="1438275"/>
                    </a:xfrm>
                    <a:prstGeom prst="rect">
                      <a:avLst/>
                    </a:prstGeom>
                    <a:noFill/>
                    <a:ln w="9525">
                      <a:noFill/>
                      <a:miter lim="800000"/>
                      <a:headEnd/>
                      <a:tailEnd/>
                    </a:ln>
                  </pic:spPr>
                </pic:pic>
              </a:graphicData>
            </a:graphic>
          </wp:inline>
        </w:drawing>
        <w:drawing>
          <wp:anchor allowOverlap="1" behindDoc="0" distB="0" distL="0" distR="0" distT="0" layoutInCell="1" locked="0" relativeHeight="2" simplePos="0">
            <wp:simplePos x="0" y="0"/>
            <wp:positionH relativeFrom="character">
              <wp:posOffset>2882900</wp:posOffset>
            </wp:positionH>
            <wp:positionV relativeFrom="line">
              <wp:posOffset>5080</wp:posOffset>
            </wp:positionV>
            <wp:extent cx="2735580" cy="1419225"/>
            <wp:effectExtent b="0" l="0" r="0" t="0"/>
            <wp:wrapSquare wrapText="bothSides"/>
            <wp:docPr descr="field%20%20%20FOOD%20SECURITY%20PROGRAMME%201392"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eld%20%20%20FOOD%20SECURITY%20PROGRAMME%201392" id="6" name="Picture"/>
                    <pic:cNvPicPr>
                      <a:picLocks noChangeArrowheads="1" noChangeAspect="1"/>
                    </pic:cNvPicPr>
                  </pic:nvPicPr>
                  <pic:blipFill>
                    <a:blip r:embed="rId8"/>
                    <a:srcRect/>
                    <a:stretch>
                      <a:fillRect/>
                    </a:stretch>
                  </pic:blipFill>
                  <pic:spPr bwMode="auto">
                    <a:xfrm>
                      <a:off x="0" y="0"/>
                      <a:ext cx="2735580" cy="1419225"/>
                    </a:xfrm>
                    <a:prstGeom prst="rect">
                      <a:avLst/>
                    </a:prstGeom>
                    <a:noFill/>
                    <a:ln w="9525">
                      <a:noFill/>
                      <a:miter lim="800000"/>
                      <a:headEnd/>
                      <a:tailEnd/>
                    </a:ln>
                  </pic:spPr>
                </pic:pic>
              </a:graphicData>
            </a:graphic>
          </wp:anchor>
        </w:drawing>
      </w:r>
    </w:p>
    <w:p>
      <w:pPr>
        <w:pStyle w:val="style0"/>
        <w:numPr>
          <w:ilvl w:val="0"/>
          <w:numId w:val="8"/>
        </w:numPr>
        <w:spacing w:after="200" w:before="0" w:line="276" w:lineRule="auto"/>
        <w:contextualSpacing w:val="false"/>
        <w:jc w:val="both"/>
      </w:pPr>
      <w:r>
        <w:rPr>
          <w:rFonts w:ascii="Arial" w:hAnsi="Arial"/>
          <w:sz w:val="22"/>
          <w:szCs w:val="22"/>
        </w:rPr>
        <w:t>Maintenance of NRU garden fence was done and assorted crops were planted</w:t>
      </w:r>
    </w:p>
    <w:p>
      <w:pPr>
        <w:pStyle w:val="style0"/>
        <w:numPr>
          <w:ilvl w:val="0"/>
          <w:numId w:val="8"/>
        </w:numPr>
        <w:spacing w:after="200" w:before="0" w:line="276" w:lineRule="auto"/>
        <w:contextualSpacing w:val="false"/>
        <w:jc w:val="both"/>
      </w:pPr>
      <w:r>
        <w:rPr>
          <w:rFonts w:ascii="Arial" w:hAnsi="Arial"/>
          <w:sz w:val="22"/>
          <w:szCs w:val="22"/>
        </w:rPr>
        <w:t>200 kitchen gardens were established and 90 watering canes distributed</w:t>
      </w:r>
    </w:p>
    <w:p>
      <w:pPr>
        <w:pStyle w:val="style0"/>
        <w:numPr>
          <w:ilvl w:val="0"/>
          <w:numId w:val="8"/>
        </w:numPr>
        <w:spacing w:after="200" w:before="0" w:line="276" w:lineRule="auto"/>
        <w:contextualSpacing w:val="false"/>
        <w:jc w:val="both"/>
      </w:pPr>
      <w:r>
        <w:rPr>
          <w:rFonts w:ascii="Arial" w:hAnsi="Arial"/>
          <w:sz w:val="22"/>
          <w:szCs w:val="22"/>
        </w:rPr>
        <w:t>39 beneficiaries were trained on the modern methods of Agriculture and 30 farmers on permaculture. In addition 300 farmers were trained on how to transplant seedlings, how to make composite manure, brick rocket stove and animal management.</w:t>
        <w:drawing>
          <wp:anchor allowOverlap="1" behindDoc="0" distB="0" distL="0" distR="0" distT="0" layoutInCell="1" locked="0" relativeHeight="4" simplePos="0">
            <wp:simplePos x="0" y="0"/>
            <wp:positionH relativeFrom="character">
              <wp:posOffset>462915</wp:posOffset>
            </wp:positionH>
            <wp:positionV relativeFrom="line">
              <wp:posOffset>561340</wp:posOffset>
            </wp:positionV>
            <wp:extent cx="1788160" cy="1243330"/>
            <wp:effectExtent b="0" l="0" r="0" t="0"/>
            <wp:wrapSquare wrapText="bothSides"/>
            <wp:docPr descr="field%20%20%20FOOD%20SECURITY%20PROGRAMME%201474"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eld%20%20%20FOOD%20SECURITY%20PROGRAMME%201474" id="7" name="Picture"/>
                    <pic:cNvPicPr>
                      <a:picLocks noChangeArrowheads="1" noChangeAspect="1"/>
                    </pic:cNvPicPr>
                  </pic:nvPicPr>
                  <pic:blipFill>
                    <a:blip r:embed="rId9"/>
                    <a:srcRect/>
                    <a:stretch>
                      <a:fillRect/>
                    </a:stretch>
                  </pic:blipFill>
                  <pic:spPr bwMode="auto">
                    <a:xfrm>
                      <a:off x="0" y="0"/>
                      <a:ext cx="1788160" cy="1243330"/>
                    </a:xfrm>
                    <a:prstGeom prst="rect">
                      <a:avLst/>
                    </a:prstGeom>
                    <a:noFill/>
                    <a:ln w="9525">
                      <a:noFill/>
                      <a:miter lim="800000"/>
                      <a:headEnd/>
                      <a:tailEnd/>
                    </a:ln>
                  </pic:spPr>
                </pic:pic>
              </a:graphicData>
            </a:graphic>
          </wp:anchor>
        </w:drawing>
      </w:r>
    </w:p>
    <w:p>
      <w:pPr>
        <w:pStyle w:val="style0"/>
        <w:numPr>
          <w:ilvl w:val="0"/>
          <w:numId w:val="8"/>
        </w:numPr>
        <w:spacing w:after="200" w:before="0" w:line="276" w:lineRule="auto"/>
        <w:contextualSpacing w:val="false"/>
        <w:jc w:val="both"/>
      </w:pPr>
      <w:r>
        <w:rPr>
          <w:rFonts w:ascii="Arial" w:hAnsi="Arial"/>
          <w:sz w:val="22"/>
          <w:szCs w:val="22"/>
        </w:rPr>
        <w:t xml:space="preserve">22 livestock kraals were constructed on which 22 pigs were procured and distributed to PLWAs  </w:t>
      </w:r>
    </w:p>
    <w:p>
      <w:pPr>
        <w:pStyle w:val="style0"/>
        <w:numPr>
          <w:ilvl w:val="0"/>
          <w:numId w:val="22"/>
        </w:numPr>
        <w:spacing w:after="200" w:before="0" w:line="276" w:lineRule="auto"/>
        <w:contextualSpacing w:val="false"/>
        <w:jc w:val="both"/>
      </w:pPr>
      <w:r>
        <w:rPr>
          <w:rFonts w:ascii="Arial" w:hAnsi="Arial"/>
          <w:sz w:val="22"/>
          <w:szCs w:val="22"/>
        </w:rPr>
      </w:r>
    </w:p>
    <w:p>
      <w:pPr>
        <w:pStyle w:val="style0"/>
        <w:numPr>
          <w:ilvl w:val="0"/>
          <w:numId w:val="22"/>
        </w:numPr>
        <w:spacing w:after="200" w:before="0" w:line="276" w:lineRule="auto"/>
        <w:contextualSpacing w:val="false"/>
        <w:jc w:val="both"/>
      </w:pPr>
      <w:r>
        <w:rPr>
          <w:rFonts w:ascii="Arial" w:hAnsi="Arial"/>
          <w:b/>
          <w:sz w:val="22"/>
          <w:szCs w:val="22"/>
          <w:u w:val="single"/>
        </w:rPr>
      </w:r>
    </w:p>
    <w:p>
      <w:pPr>
        <w:pStyle w:val="style0"/>
        <w:numPr>
          <w:ilvl w:val="0"/>
          <w:numId w:val="22"/>
        </w:numPr>
        <w:spacing w:after="200" w:before="0" w:line="276" w:lineRule="auto"/>
        <w:ind w:hanging="0" w:left="720" w:right="0"/>
        <w:contextualSpacing w:val="false"/>
        <w:jc w:val="both"/>
      </w:pPr>
      <w:r>
        <w:rPr>
          <w:rFonts w:ascii="Arial" w:hAnsi="Arial"/>
          <w:b/>
          <w:sz w:val="22"/>
          <w:szCs w:val="22"/>
          <w:u w:val="single"/>
        </w:rPr>
        <w:drawing>
          <wp:anchor allowOverlap="1" behindDoc="0" distB="0" distL="0" distR="0" distT="0" layoutInCell="1" locked="0" relativeHeight="3" simplePos="0">
            <wp:simplePos x="0" y="0"/>
            <wp:positionH relativeFrom="character">
              <wp:posOffset>462915</wp:posOffset>
            </wp:positionH>
            <wp:positionV relativeFrom="line">
              <wp:posOffset>277495</wp:posOffset>
            </wp:positionV>
            <wp:extent cx="1788160" cy="1339215"/>
            <wp:effectExtent b="0" l="0" r="0" t="0"/>
            <wp:wrapSquare wrapText="bothSides"/>
            <wp:docPr descr="field   FOOD SECURITY PROGRAMME 051"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eld   FOOD SECURITY PROGRAMME 051" id="8" name="Picture"/>
                    <pic:cNvPicPr>
                      <a:picLocks noChangeArrowheads="1" noChangeAspect="1"/>
                    </pic:cNvPicPr>
                  </pic:nvPicPr>
                  <pic:blipFill>
                    <a:blip r:embed="rId10"/>
                    <a:srcRect/>
                    <a:stretch>
                      <a:fillRect/>
                    </a:stretch>
                  </pic:blipFill>
                  <pic:spPr bwMode="auto">
                    <a:xfrm>
                      <a:off x="0" y="0"/>
                      <a:ext cx="1788160" cy="1339215"/>
                    </a:xfrm>
                    <a:prstGeom prst="rect">
                      <a:avLst/>
                    </a:prstGeom>
                    <a:noFill/>
                    <a:ln w="9525">
                      <a:noFill/>
                      <a:miter lim="800000"/>
                      <a:headEnd/>
                      <a:tailEnd/>
                    </a:ln>
                  </pic:spPr>
                </pic:pic>
              </a:graphicData>
            </a:graphic>
          </wp:anchor>
        </w:drawing>
      </w:r>
    </w:p>
    <w:p>
      <w:pPr>
        <w:pStyle w:val="style0"/>
        <w:numPr>
          <w:ilvl w:val="0"/>
          <w:numId w:val="22"/>
        </w:numPr>
        <w:spacing w:after="200" w:before="0" w:line="276" w:lineRule="auto"/>
        <w:ind w:hanging="0" w:left="720" w:right="0"/>
        <w:contextualSpacing w:val="false"/>
        <w:jc w:val="both"/>
      </w:pPr>
      <w:r>
        <w:rPr>
          <w:rFonts w:ascii="Arial" w:hAnsi="Arial"/>
          <w:b/>
          <w:sz w:val="22"/>
          <w:szCs w:val="22"/>
          <w:u w:val="single"/>
        </w:rPr>
      </w:r>
    </w:p>
    <w:p>
      <w:pPr>
        <w:pStyle w:val="style0"/>
        <w:numPr>
          <w:ilvl w:val="0"/>
          <w:numId w:val="8"/>
        </w:numPr>
        <w:spacing w:after="200" w:before="0" w:line="276" w:lineRule="auto"/>
        <w:contextualSpacing w:val="false"/>
        <w:jc w:val="both"/>
      </w:pPr>
      <w:r>
        <w:rPr>
          <w:rFonts w:ascii="Arial" w:hAnsi="Arial"/>
          <w:sz w:val="22"/>
          <w:szCs w:val="22"/>
        </w:rPr>
        <w:t>One cow was procured and given to Mrs. Chiocha of  MMamela village under safe motherhood project project</w:t>
      </w:r>
    </w:p>
    <w:p>
      <w:pPr>
        <w:pStyle w:val="style0"/>
        <w:numPr>
          <w:ilvl w:val="0"/>
          <w:numId w:val="8"/>
        </w:numPr>
        <w:spacing w:after="200" w:before="0" w:line="276" w:lineRule="auto"/>
        <w:contextualSpacing w:val="false"/>
        <w:jc w:val="both"/>
      </w:pPr>
      <w:r>
        <w:rPr>
          <w:rFonts w:ascii="Arial" w:hAnsi="Arial"/>
          <w:sz w:val="22"/>
          <w:szCs w:val="22"/>
        </w:rPr>
        <w:t xml:space="preserve">An orchard was established behind NRU building and the following fruits were planted: oranges, Mangoes, Bananas, avocado pears sweet apples and paw paws. </w:t>
        <w:tab/>
      </w:r>
    </w:p>
    <w:p>
      <w:pPr>
        <w:pStyle w:val="style37"/>
        <w:numPr>
          <w:ilvl w:val="0"/>
          <w:numId w:val="22"/>
        </w:numPr>
        <w:jc w:val="both"/>
      </w:pPr>
      <w:r>
        <w:rPr>
          <w:rFonts w:ascii="Arial" w:hAnsi="Arial"/>
        </w:rPr>
        <w:t>Detailed programme statistics are available in Appendix One.</w:t>
      </w:r>
    </w:p>
    <w:p>
      <w:pPr>
        <w:pStyle w:val="style37"/>
        <w:numPr>
          <w:ilvl w:val="0"/>
          <w:numId w:val="22"/>
        </w:numPr>
        <w:jc w:val="both"/>
      </w:pPr>
      <w:r>
        <w:rPr>
          <w:rFonts w:ascii="Arial" w:hAnsi="Arial"/>
        </w:rPr>
        <w:t>CHALLENGE</w:t>
      </w:r>
      <w:r>
        <w:rPr>
          <w:rFonts w:ascii="Arial" w:hAnsi="Arial"/>
          <w:b/>
        </w:rPr>
        <w:t>S</w:t>
      </w:r>
    </w:p>
    <w:p>
      <w:pPr>
        <w:pStyle w:val="style37"/>
        <w:numPr>
          <w:ilvl w:val="0"/>
          <w:numId w:val="22"/>
        </w:numPr>
        <w:jc w:val="both"/>
      </w:pPr>
      <w:r>
        <w:rPr>
          <w:rFonts w:ascii="Arial" w:hAnsi="Arial"/>
        </w:rPr>
        <w:t>So far there were no big problems relating to the food security program but there is need of a computer in the office where data can be safely kept collected from the field.</w:t>
      </w:r>
    </w:p>
    <w:p>
      <w:pPr>
        <w:pStyle w:val="style0"/>
        <w:numPr>
          <w:ilvl w:val="0"/>
          <w:numId w:val="22"/>
        </w:numPr>
        <w:ind w:firstLine="360" w:left="360" w:right="0"/>
        <w:jc w:val="both"/>
      </w:pPr>
      <w:r>
        <w:rPr>
          <w:rFonts w:ascii="Arial" w:hAnsi="Arial"/>
          <w:sz w:val="22"/>
          <w:szCs w:val="22"/>
        </w:rPr>
        <w:t>ACHIEVEMENTS FOR THE CURRENT YEAR</w:t>
      </w:r>
    </w:p>
    <w:p>
      <w:pPr>
        <w:pStyle w:val="style37"/>
        <w:numPr>
          <w:ilvl w:val="0"/>
          <w:numId w:val="6"/>
        </w:numPr>
        <w:jc w:val="both"/>
      </w:pPr>
      <w:r>
        <w:rPr>
          <w:rFonts w:ascii="Arial" w:hAnsi="Arial"/>
        </w:rPr>
        <w:t>NRU garden fence was constructed and varieties of crops were grown.</w:t>
      </w:r>
    </w:p>
    <w:p>
      <w:pPr>
        <w:pStyle w:val="style37"/>
        <w:numPr>
          <w:ilvl w:val="0"/>
          <w:numId w:val="6"/>
        </w:numPr>
        <w:jc w:val="both"/>
      </w:pPr>
      <w:r>
        <w:rPr>
          <w:rFonts w:ascii="Arial" w:hAnsi="Arial"/>
        </w:rPr>
        <w:t>400 beneficiaries were trained on the making of composite manure and 69 trained on the modern methods of farming, making of rocket stoves.</w:t>
      </w:r>
    </w:p>
    <w:p>
      <w:pPr>
        <w:pStyle w:val="style37"/>
        <w:numPr>
          <w:ilvl w:val="0"/>
          <w:numId w:val="6"/>
        </w:numPr>
        <w:jc w:val="both"/>
      </w:pPr>
      <w:r>
        <w:rPr>
          <w:rFonts w:ascii="Arial" w:hAnsi="Arial"/>
        </w:rPr>
        <w:t>200 kitchen gardens were established where different crops were planted</w:t>
      </w:r>
    </w:p>
    <w:p>
      <w:pPr>
        <w:pStyle w:val="style37"/>
        <w:numPr>
          <w:ilvl w:val="0"/>
          <w:numId w:val="6"/>
        </w:numPr>
        <w:jc w:val="both"/>
      </w:pPr>
      <w:r>
        <w:rPr>
          <w:rFonts w:ascii="Arial" w:hAnsi="Arial"/>
        </w:rPr>
        <w:t>90 watering canes procured and distributed to be used at the beneficiaries garden  and at the community garden</w:t>
      </w:r>
    </w:p>
    <w:p>
      <w:pPr>
        <w:pStyle w:val="style37"/>
        <w:numPr>
          <w:ilvl w:val="0"/>
          <w:numId w:val="6"/>
        </w:numPr>
        <w:jc w:val="both"/>
      </w:pPr>
      <w:r>
        <w:rPr>
          <w:rFonts w:ascii="Arial" w:hAnsi="Arial"/>
        </w:rPr>
        <w:t>Two orphan student from chambe Community Day Secondary School were paid school fees from mwanamvula community garden.</w:t>
      </w:r>
    </w:p>
    <w:p>
      <w:pPr>
        <w:pStyle w:val="style37"/>
        <w:numPr>
          <w:ilvl w:val="0"/>
          <w:numId w:val="6"/>
        </w:numPr>
        <w:jc w:val="both"/>
      </w:pPr>
      <w:r>
        <w:rPr>
          <w:rFonts w:ascii="Arial" w:hAnsi="Arial"/>
        </w:rPr>
        <w:t>Beneficiaries from Tambala Community Garden have generated MK25, 00.00 for selling of fish from their fish pond.</w:t>
      </w:r>
    </w:p>
    <w:p>
      <w:pPr>
        <w:pStyle w:val="style0"/>
        <w:numPr>
          <w:ilvl w:val="0"/>
          <w:numId w:val="22"/>
        </w:numPr>
        <w:ind w:firstLine="360" w:left="360" w:right="0"/>
        <w:jc w:val="both"/>
      </w:pPr>
      <w:r>
        <w:rPr>
          <w:rFonts w:ascii="Arial" w:hAnsi="Arial"/>
          <w:sz w:val="22"/>
          <w:szCs w:val="22"/>
        </w:rPr>
        <w:t>FUTURE PLANS</w:t>
      </w:r>
    </w:p>
    <w:p>
      <w:pPr>
        <w:pStyle w:val="style37"/>
        <w:numPr>
          <w:ilvl w:val="0"/>
          <w:numId w:val="7"/>
        </w:numPr>
        <w:jc w:val="both"/>
      </w:pPr>
      <w:r>
        <w:rPr>
          <w:rFonts w:ascii="Arial" w:hAnsi="Arial"/>
        </w:rPr>
        <w:t>To implement dairy cattle project at nutrition rehabilitation Unit.</w:t>
      </w:r>
    </w:p>
    <w:p>
      <w:pPr>
        <w:pStyle w:val="style37"/>
        <w:numPr>
          <w:ilvl w:val="0"/>
          <w:numId w:val="7"/>
        </w:numPr>
        <w:jc w:val="both"/>
      </w:pPr>
      <w:r>
        <w:rPr>
          <w:rFonts w:ascii="Arial" w:hAnsi="Arial"/>
        </w:rPr>
        <w:t>To expand fish farming to other community garden.</w:t>
      </w:r>
    </w:p>
    <w:p>
      <w:pPr>
        <w:pStyle w:val="style37"/>
        <w:numPr>
          <w:ilvl w:val="0"/>
          <w:numId w:val="7"/>
        </w:numPr>
        <w:jc w:val="both"/>
      </w:pPr>
      <w:r>
        <w:rPr>
          <w:rFonts w:ascii="Arial" w:hAnsi="Arial"/>
        </w:rPr>
        <w:t>Strengthening existing kitchen gardens and community gardens by closer supervision and follow up visits.</w:t>
      </w:r>
    </w:p>
    <w:p>
      <w:pPr>
        <w:pStyle w:val="style37"/>
        <w:numPr>
          <w:ilvl w:val="0"/>
          <w:numId w:val="7"/>
        </w:numPr>
        <w:jc w:val="both"/>
      </w:pPr>
      <w:r>
        <w:rPr>
          <w:rFonts w:ascii="Arial" w:hAnsi="Arial"/>
        </w:rPr>
        <w:t>Strengthening the existing dairy goats by constructing 27 livestock kraals and distributing the 27 goats to 27 beneficiaries.</w:t>
      </w:r>
    </w:p>
    <w:p>
      <w:pPr>
        <w:pStyle w:val="style37"/>
        <w:numPr>
          <w:ilvl w:val="0"/>
          <w:numId w:val="7"/>
        </w:numPr>
        <w:jc w:val="both"/>
      </w:pPr>
      <w:r>
        <w:rPr>
          <w:rFonts w:ascii="Arial" w:hAnsi="Arial"/>
        </w:rPr>
        <w:t>To expand pig project to people living with HIV / AIDS as well as daily goat to volunteers and orphaned children.</w:t>
      </w:r>
    </w:p>
    <w:p>
      <w:pPr>
        <w:pStyle w:val="style37"/>
        <w:numPr>
          <w:ilvl w:val="0"/>
          <w:numId w:val="7"/>
        </w:numPr>
        <w:jc w:val="both"/>
      </w:pPr>
      <w:r>
        <w:rPr>
          <w:rFonts w:ascii="Arial" w:hAnsi="Arial"/>
        </w:rPr>
        <w:t>Strengthening individual kitchen field and community gardens by closer supervision and follow up visits</w:t>
      </w:r>
    </w:p>
    <w:p>
      <w:pPr>
        <w:pStyle w:val="style0"/>
        <w:jc w:val="both"/>
      </w:pPr>
      <w:r>
        <w:rPr>
          <w:rFonts w:ascii="Arial" w:hAnsi="Arial"/>
          <w:b/>
          <w:sz w:val="22"/>
          <w:szCs w:val="22"/>
          <w:u w:val="single"/>
        </w:rPr>
      </w:r>
    </w:p>
    <w:p>
      <w:pPr>
        <w:pStyle w:val="style0"/>
        <w:keepNext/>
        <w:jc w:val="both"/>
      </w:pPr>
      <w:r>
        <w:rPr/>
        <w:drawing>
          <wp:inline distB="0" distL="0" distR="0" distT="0">
            <wp:extent cx="2735580" cy="2048510"/>
            <wp:effectExtent b="0" l="0" r="0" t="0"/>
            <wp:docPr descr="field%20%20%20FOOD%20SECURITY%20PROGRAMME%201531"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eld%20%20%20FOOD%20SECURITY%20PROGRAMME%201531" id="9" name="Picture"/>
                    <pic:cNvPicPr>
                      <a:picLocks noChangeArrowheads="1" noChangeAspect="1"/>
                    </pic:cNvPicPr>
                  </pic:nvPicPr>
                  <pic:blipFill>
                    <a:blip r:embed="rId11"/>
                    <a:srcRect/>
                    <a:stretch>
                      <a:fillRect/>
                    </a:stretch>
                  </pic:blipFill>
                  <pic:spPr bwMode="auto">
                    <a:xfrm>
                      <a:off x="0" y="0"/>
                      <a:ext cx="2735580" cy="2048510"/>
                    </a:xfrm>
                    <a:prstGeom prst="rect">
                      <a:avLst/>
                    </a:prstGeom>
                    <a:noFill/>
                    <a:ln w="9525">
                      <a:noFill/>
                      <a:miter lim="800000"/>
                      <a:headEnd/>
                      <a:tailEnd/>
                    </a:ln>
                  </pic:spPr>
                </pic:pic>
              </a:graphicData>
            </a:graphic>
          </wp:inline>
        </w:drawing>
      </w:r>
      <w:r>
        <w:rPr/>
        <w:drawing>
          <wp:inline distB="0" distL="0" distR="0" distT="0">
            <wp:extent cx="2735580" cy="1974850"/>
            <wp:effectExtent b="0" l="0" r="0" t="0"/>
            <wp:docPr descr="field%20%20%20FOOD%20SECURITY%20PROGRAMME%201662"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eld%20%20%20FOOD%20SECURITY%20PROGRAMME%201662" id="10" name="Picture"/>
                    <pic:cNvPicPr>
                      <a:picLocks noChangeArrowheads="1" noChangeAspect="1"/>
                    </pic:cNvPicPr>
                  </pic:nvPicPr>
                  <pic:blipFill>
                    <a:blip r:embed="rId12"/>
                    <a:srcRect/>
                    <a:stretch>
                      <a:fillRect/>
                    </a:stretch>
                  </pic:blipFill>
                  <pic:spPr bwMode="auto">
                    <a:xfrm>
                      <a:off x="0" y="0"/>
                      <a:ext cx="2735580" cy="1974850"/>
                    </a:xfrm>
                    <a:prstGeom prst="rect">
                      <a:avLst/>
                    </a:prstGeom>
                    <a:noFill/>
                    <a:ln w="9525">
                      <a:noFill/>
                      <a:miter lim="800000"/>
                      <a:headEnd/>
                      <a:tailEnd/>
                    </a:ln>
                  </pic:spPr>
                </pic:pic>
              </a:graphicData>
            </a:graphic>
          </wp:inline>
        </w:drawing>
      </w:r>
    </w:p>
    <w:p>
      <w:pPr>
        <w:pStyle w:val="style36"/>
        <w:jc w:val="both"/>
      </w:pPr>
      <w:r>
        <w:rPr>
          <w:rFonts w:ascii="Arial" w:hAnsi="Arial"/>
          <w:sz w:val="22"/>
          <w:szCs w:val="22"/>
        </w:rPr>
      </w:r>
    </w:p>
    <w:p>
      <w:pPr>
        <w:pStyle w:val="style36"/>
        <w:jc w:val="both"/>
      </w:pPr>
      <w:r>
        <w:rPr>
          <w:rFonts w:ascii="Arial" w:hAnsi="Arial"/>
          <w:b w:val="false"/>
          <w:bCs w:val="false"/>
          <w:color w:val="00000A"/>
          <w:sz w:val="22"/>
          <w:szCs w:val="22"/>
        </w:rPr>
        <w:t xml:space="preserve">Figure </w:t>
      </w:r>
      <w:r>
        <w:rPr>
          <w:rFonts w:ascii="Arial" w:hAnsi="Arial"/>
          <w:b w:val="false"/>
          <w:bCs w:val="false"/>
          <w:color w:val="00000A"/>
          <w:sz w:val="22"/>
          <w:szCs w:val="22"/>
        </w:rPr>
        <w:fldChar w:fldCharType="begin"/>
      </w:r>
      <w:r>
        <w:instrText> SEQ "Figure" \*Arabic </w:instrText>
      </w:r>
      <w:r>
        <w:fldChar w:fldCharType="separate"/>
      </w:r>
      <w:r>
        <w:t>4</w:t>
      </w:r>
      <w:r>
        <w:fldChar w:fldCharType="end"/>
      </w:r>
      <w:r>
        <w:rPr>
          <w:rFonts w:ascii="Arial" w:hAnsi="Arial"/>
          <w:b w:val="false"/>
          <w:bCs w:val="false"/>
          <w:color w:val="00000A"/>
          <w:sz w:val="22"/>
          <w:szCs w:val="22"/>
        </w:rPr>
        <w:t>. Felix teaching women new farming methods</w:t>
      </w:r>
    </w:p>
    <w:p>
      <w:pPr>
        <w:pStyle w:val="style0"/>
        <w:jc w:val="both"/>
      </w:pPr>
      <w:bookmarkStart w:id="44" w:name="_Toc113883276"/>
      <w:r>
        <w:rPr>
          <w:rFonts w:ascii="Arial" w:hAnsi="Arial"/>
          <w:color w:val="FF0000"/>
          <w:sz w:val="22"/>
          <w:szCs w:val="22"/>
        </w:rPr>
        <w:t xml:space="preserve">  </w:t>
      </w:r>
    </w:p>
    <w:p>
      <w:pPr>
        <w:pStyle w:val="style0"/>
        <w:jc w:val="both"/>
      </w:pPr>
      <w:r>
        <w:rPr>
          <w:rFonts w:ascii="Arial" w:hAnsi="Arial"/>
          <w:bCs/>
          <w:sz w:val="22"/>
          <w:szCs w:val="22"/>
        </w:rPr>
        <w:t>12.</w:t>
        <w:tab/>
      </w:r>
      <w:r>
        <w:rPr>
          <w:rFonts w:ascii="Arial" w:hAnsi="Arial"/>
          <w:b/>
          <w:bCs/>
          <w:sz w:val="22"/>
          <w:szCs w:val="22"/>
        </w:rPr>
        <w:t xml:space="preserve">AIDS </w:t>
      </w:r>
      <w:bookmarkEnd w:id="44"/>
      <w:r>
        <w:rPr>
          <w:rFonts w:ascii="Arial" w:hAnsi="Arial"/>
          <w:b/>
          <w:bCs/>
          <w:sz w:val="22"/>
          <w:szCs w:val="22"/>
        </w:rPr>
        <w:t>PREVENTION, TREATMENT AND CARE</w:t>
      </w:r>
    </w:p>
    <w:p>
      <w:pPr>
        <w:pStyle w:val="style0"/>
        <w:jc w:val="both"/>
      </w:pPr>
      <w:r>
        <w:rPr>
          <w:rFonts w:ascii="Arial" w:hAnsi="Arial"/>
          <w:sz w:val="22"/>
          <w:szCs w:val="22"/>
        </w:rPr>
      </w:r>
    </w:p>
    <w:p>
      <w:pPr>
        <w:pStyle w:val="style0"/>
        <w:jc w:val="both"/>
      </w:pPr>
      <w:r>
        <w:rPr>
          <w:rFonts w:ascii="Arial" w:hAnsi="Arial"/>
          <w:sz w:val="22"/>
          <w:szCs w:val="22"/>
        </w:rPr>
        <w:t xml:space="preserve">The activities of this programme aim at prevention of HIV transmission and provision of care to all that are infected and affected by HIV. </w:t>
      </w:r>
    </w:p>
    <w:p>
      <w:pPr>
        <w:pStyle w:val="style0"/>
        <w:jc w:val="both"/>
      </w:pPr>
      <w:r>
        <w:rPr>
          <w:rFonts w:ascii="Arial" w:hAnsi="Arial"/>
          <w:sz w:val="22"/>
          <w:szCs w:val="22"/>
        </w:rPr>
      </w:r>
    </w:p>
    <w:p>
      <w:pPr>
        <w:pStyle w:val="style0"/>
        <w:jc w:val="both"/>
      </w:pPr>
      <w:r>
        <w:rPr>
          <w:rFonts w:ascii="Arial" w:hAnsi="Arial"/>
          <w:sz w:val="22"/>
          <w:szCs w:val="22"/>
        </w:rPr>
        <w:t>HIV TESTING AND COUNSELLING</w:t>
      </w:r>
    </w:p>
    <w:p>
      <w:pPr>
        <w:pStyle w:val="style0"/>
        <w:jc w:val="both"/>
      </w:pPr>
      <w:r>
        <w:rPr>
          <w:rFonts w:ascii="Arial" w:hAnsi="Arial"/>
          <w:sz w:val="22"/>
          <w:szCs w:val="22"/>
        </w:rPr>
        <w:t>Staffing:   Currently there are 5 permanent and 2 volunteers counselors.</w:t>
      </w:r>
    </w:p>
    <w:p>
      <w:pPr>
        <w:pStyle w:val="style0"/>
        <w:jc w:val="both"/>
      </w:pPr>
      <w:r>
        <w:rPr>
          <w:rFonts w:ascii="Arial" w:hAnsi="Arial"/>
          <w:sz w:val="22"/>
          <w:szCs w:val="22"/>
        </w:rPr>
        <w:t>2013-2014 HTC and PMTCT services statistics</w:t>
      </w:r>
    </w:p>
    <w:p>
      <w:pPr>
        <w:pStyle w:val="style0"/>
        <w:jc w:val="both"/>
      </w:pPr>
      <w:r>
        <w:rPr>
          <w:rFonts w:ascii="Arial" w:hAnsi="Arial"/>
          <w:sz w:val="22"/>
          <w:szCs w:val="22"/>
        </w:rPr>
      </w:r>
    </w:p>
    <w:tbl>
      <w:tblPr>
        <w:jc w:val="left"/>
        <w:tblInd w:type="dxa" w:w="675"/>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5529"/>
        <w:gridCol w:w="1558"/>
      </w:tblGrid>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tested and given results</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12481</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tested HIV positive</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1069</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confirmed positive</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681</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tested HIV NEGATIVE</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10731</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of males tested and given results</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3553</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of female pregnant tested and given results</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3215</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of female pregnant tested HIV positive</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248</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of female pregnant confirmed positive</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69</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of female non pregnant tested and given results</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5713</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tested with partner and given results</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1734</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of never tested before at any site</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8763</w:t>
            </w:r>
          </w:p>
        </w:tc>
      </w:tr>
      <w:tr>
        <w:trPr>
          <w:cantSplit w:val="false"/>
        </w:trPr>
        <w:tc>
          <w:tcPr>
            <w:tcW w:type="dxa" w:w="552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tested for the first time</w:t>
            </w:r>
          </w:p>
        </w:tc>
        <w:tc>
          <w:tcPr>
            <w:tcW w:type="dxa" w:w="155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3718</w:t>
            </w:r>
          </w:p>
        </w:tc>
      </w:tr>
    </w:tbl>
    <w:p>
      <w:pPr>
        <w:pStyle w:val="style0"/>
        <w:jc w:val="both"/>
      </w:pPr>
      <w:r>
        <w:rPr>
          <w:rFonts w:ascii="Arial" w:hAnsi="Arial"/>
          <w:sz w:val="22"/>
          <w:szCs w:val="22"/>
        </w:rPr>
      </w:r>
    </w:p>
    <w:p>
      <w:pPr>
        <w:pStyle w:val="style0"/>
        <w:jc w:val="both"/>
      </w:pPr>
      <w:r>
        <w:rPr>
          <w:rFonts w:ascii="Arial" w:hAnsi="Arial"/>
          <w:sz w:val="22"/>
          <w:szCs w:val="22"/>
        </w:rPr>
        <w:t>HTC statistics by age</w:t>
      </w:r>
    </w:p>
    <w:tbl>
      <w:tblPr>
        <w:jc w:val="left"/>
        <w:tblInd w:type="dxa" w:w="675"/>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4113"/>
        <w:gridCol w:w="1556"/>
      </w:tblGrid>
      <w:tr>
        <w:trPr>
          <w:cantSplit w:val="false"/>
        </w:trPr>
        <w:tc>
          <w:tcPr>
            <w:tcW w:type="dxa" w:w="411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0-11months</w:t>
            </w:r>
          </w:p>
        </w:tc>
        <w:tc>
          <w:tcPr>
            <w:tcW w:type="dxa" w:w="155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22</w:t>
            </w:r>
          </w:p>
        </w:tc>
      </w:tr>
      <w:tr>
        <w:trPr>
          <w:cantSplit w:val="false"/>
        </w:trPr>
        <w:tc>
          <w:tcPr>
            <w:tcW w:type="dxa" w:w="411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1-14 yrs</w:t>
            </w:r>
          </w:p>
        </w:tc>
        <w:tc>
          <w:tcPr>
            <w:tcW w:type="dxa" w:w="155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1654</w:t>
            </w:r>
          </w:p>
        </w:tc>
      </w:tr>
      <w:tr>
        <w:trPr>
          <w:cantSplit w:val="false"/>
        </w:trPr>
        <w:tc>
          <w:tcPr>
            <w:tcW w:type="dxa" w:w="411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15-24 yr</w:t>
            </w:r>
          </w:p>
        </w:tc>
        <w:tc>
          <w:tcPr>
            <w:tcW w:type="dxa" w:w="155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4190</w:t>
            </w:r>
          </w:p>
        </w:tc>
      </w:tr>
      <w:tr>
        <w:trPr>
          <w:cantSplit w:val="false"/>
        </w:trPr>
        <w:tc>
          <w:tcPr>
            <w:tcW w:type="dxa" w:w="411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Above 25yrs</w:t>
            </w:r>
          </w:p>
        </w:tc>
        <w:tc>
          <w:tcPr>
            <w:tcW w:type="dxa" w:w="155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6615</w:t>
            </w:r>
          </w:p>
        </w:tc>
      </w:tr>
    </w:tbl>
    <w:p>
      <w:pPr>
        <w:pStyle w:val="style0"/>
        <w:jc w:val="both"/>
      </w:pPr>
      <w:r>
        <w:rPr>
          <w:rFonts w:ascii="Arial" w:cs="Times New Roman" w:eastAsia="Times New Roman" w:hAnsi="Arial"/>
          <w:sz w:val="22"/>
          <w:szCs w:val="22"/>
        </w:rPr>
        <w:t xml:space="preserve"> </w:t>
      </w:r>
    </w:p>
    <w:p>
      <w:pPr>
        <w:pStyle w:val="style0"/>
        <w:jc w:val="both"/>
      </w:pPr>
      <w:r>
        <w:rPr>
          <w:rFonts w:ascii="Arial" w:hAnsi="Arial"/>
          <w:sz w:val="22"/>
          <w:szCs w:val="22"/>
        </w:rPr>
        <w:t xml:space="preserve"> </w:t>
      </w:r>
      <w:r>
        <w:rPr>
          <w:rFonts w:ascii="Arial" w:hAnsi="Arial"/>
          <w:sz w:val="22"/>
          <w:szCs w:val="22"/>
        </w:rPr>
        <w:t>Achievements</w:t>
      </w:r>
    </w:p>
    <w:p>
      <w:pPr>
        <w:pStyle w:val="style37"/>
        <w:numPr>
          <w:ilvl w:val="0"/>
          <w:numId w:val="16"/>
        </w:numPr>
        <w:jc w:val="both"/>
      </w:pPr>
      <w:r>
        <w:rPr>
          <w:rFonts w:ascii="Arial" w:hAnsi="Arial"/>
        </w:rPr>
        <w:t>Tested 12481 clients</w:t>
      </w:r>
    </w:p>
    <w:p>
      <w:pPr>
        <w:pStyle w:val="style37"/>
        <w:numPr>
          <w:ilvl w:val="0"/>
          <w:numId w:val="16"/>
        </w:numPr>
        <w:jc w:val="both"/>
      </w:pPr>
      <w:r>
        <w:rPr>
          <w:rFonts w:ascii="Arial" w:hAnsi="Arial"/>
        </w:rPr>
        <w:t>352 DBS sample were sent to QECH, 16 were found positive and 306 were negative, 30 results not out.</w:t>
      </w:r>
    </w:p>
    <w:p>
      <w:pPr>
        <w:pStyle w:val="style37"/>
        <w:jc w:val="both"/>
      </w:pPr>
      <w:r>
        <w:rPr/>
      </w:r>
    </w:p>
    <w:p>
      <w:pPr>
        <w:pStyle w:val="style37"/>
        <w:ind w:hanging="360" w:left="0" w:right="0"/>
        <w:jc w:val="both"/>
      </w:pPr>
      <w:r>
        <w:rPr>
          <w:rFonts w:ascii="Arial" w:hAnsi="Arial"/>
          <w:sz w:val="22"/>
          <w:szCs w:val="22"/>
        </w:rPr>
        <w:t>Challenges</w:t>
      </w:r>
    </w:p>
    <w:p>
      <w:pPr>
        <w:pStyle w:val="style37"/>
        <w:numPr>
          <w:ilvl w:val="0"/>
          <w:numId w:val="17"/>
        </w:numPr>
        <w:jc w:val="both"/>
      </w:pPr>
      <w:r>
        <w:rPr>
          <w:rFonts w:ascii="Arial" w:hAnsi="Arial"/>
        </w:rPr>
        <w:t>Test kits were out of stock mostly in the months of September, October and December.</w:t>
      </w:r>
    </w:p>
    <w:p>
      <w:pPr>
        <w:pStyle w:val="style37"/>
        <w:numPr>
          <w:ilvl w:val="0"/>
          <w:numId w:val="17"/>
        </w:numPr>
        <w:jc w:val="both"/>
      </w:pPr>
      <w:r>
        <w:rPr>
          <w:rFonts w:ascii="Arial" w:hAnsi="Arial"/>
        </w:rPr>
        <w:t>Condoms were in short supply</w:t>
      </w:r>
    </w:p>
    <w:p>
      <w:pPr>
        <w:pStyle w:val="style37"/>
        <w:numPr>
          <w:ilvl w:val="0"/>
          <w:numId w:val="17"/>
        </w:numPr>
        <w:jc w:val="both"/>
      </w:pPr>
      <w:r>
        <w:rPr>
          <w:rFonts w:ascii="Arial" w:hAnsi="Arial"/>
        </w:rPr>
        <w:t>Male participation is still a problem although there is little improvement from 3449 to 3553 this year.</w:t>
      </w:r>
    </w:p>
    <w:p>
      <w:pPr>
        <w:pStyle w:val="style37"/>
        <w:numPr>
          <w:ilvl w:val="0"/>
          <w:numId w:val="17"/>
        </w:numPr>
        <w:jc w:val="both"/>
      </w:pPr>
      <w:r>
        <w:rPr>
          <w:rFonts w:ascii="Arial" w:hAnsi="Arial"/>
        </w:rPr>
        <w:t>As counselors we are failing to understand deaf and dumb clients</w:t>
      </w:r>
    </w:p>
    <w:p>
      <w:pPr>
        <w:pStyle w:val="style37"/>
        <w:numPr>
          <w:ilvl w:val="0"/>
          <w:numId w:val="17"/>
        </w:numPr>
        <w:jc w:val="both"/>
      </w:pPr>
      <w:r>
        <w:rPr>
          <w:rFonts w:ascii="Arial" w:hAnsi="Arial"/>
        </w:rPr>
        <w:t>DBS results are coming late from central hospital so it making us fail to deliver result to our clients in time.</w:t>
      </w:r>
    </w:p>
    <w:p>
      <w:pPr>
        <w:pStyle w:val="style0"/>
        <w:jc w:val="both"/>
      </w:pPr>
      <w:r>
        <w:rPr>
          <w:rFonts w:ascii="Arial" w:hAnsi="Arial"/>
          <w:sz w:val="22"/>
          <w:szCs w:val="22"/>
          <w:u w:val="single"/>
        </w:rPr>
      </w:r>
    </w:p>
    <w:p>
      <w:pPr>
        <w:pStyle w:val="style0"/>
        <w:jc w:val="both"/>
      </w:pPr>
      <w:r>
        <w:rPr>
          <w:rFonts w:ascii="Arial" w:hAnsi="Arial"/>
          <w:sz w:val="22"/>
          <w:szCs w:val="22"/>
          <w:u w:val="single"/>
        </w:rPr>
        <w:t>13. Home Based Care (HBC)</w:t>
      </w:r>
    </w:p>
    <w:p>
      <w:pPr>
        <w:pStyle w:val="style0"/>
        <w:jc w:val="both"/>
      </w:pPr>
      <w:r>
        <w:rPr>
          <w:rFonts w:ascii="Arial" w:hAnsi="Arial"/>
          <w:b/>
          <w:sz w:val="22"/>
          <w:szCs w:val="22"/>
          <w:shd w:fill="FFFF00" w:val="clear"/>
        </w:rPr>
      </w:r>
    </w:p>
    <w:p>
      <w:pPr>
        <w:pStyle w:val="style0"/>
        <w:jc w:val="both"/>
      </w:pPr>
      <w:r>
        <w:rPr>
          <w:rFonts w:ascii="Arial" w:hAnsi="Arial"/>
          <w:sz w:val="22"/>
          <w:szCs w:val="22"/>
        </w:rPr>
        <w:t>Community home based care helps to integrate care with HIV and AIDS education that promotes acceptance of the disease by the patients, family members and community  as a way of preventing HIV infection.  It also reduces stigma and discrimination to the patients from family members and the community because both parties aims at supporting the patients.</w:t>
      </w:r>
    </w:p>
    <w:p>
      <w:pPr>
        <w:pStyle w:val="style0"/>
        <w:jc w:val="both"/>
      </w:pPr>
      <w:r>
        <w:rPr>
          <w:rFonts w:ascii="Arial" w:hAnsi="Arial"/>
          <w:sz w:val="22"/>
          <w:szCs w:val="22"/>
        </w:rPr>
        <w:t>Community home based care promotes long term family support and strengthening of family-community bonding, it is a family’s responsibility to make sure that the patients are being taken care of and support them physically by bathing them or taking them in and out of the house also supporting these patients emotionally by sharing with them the word of God even sharing with them some other stories just to make them feel accommodated.</w:t>
      </w:r>
    </w:p>
    <w:p>
      <w:pPr>
        <w:pStyle w:val="style0"/>
        <w:jc w:val="both"/>
      </w:pPr>
      <w:r>
        <w:rPr>
          <w:rFonts w:ascii="Arial" w:hAnsi="Arial"/>
          <w:sz w:val="22"/>
          <w:szCs w:val="22"/>
        </w:rPr>
      </w:r>
    </w:p>
    <w:p>
      <w:pPr>
        <w:pStyle w:val="style0"/>
        <w:jc w:val="both"/>
      </w:pPr>
      <w:r>
        <w:rPr>
          <w:rFonts w:ascii="Arial" w:hAnsi="Arial"/>
          <w:b/>
          <w:sz w:val="22"/>
          <w:szCs w:val="22"/>
        </w:rPr>
        <w:t>Capacity building:</w:t>
      </w:r>
    </w:p>
    <w:p>
      <w:pPr>
        <w:pStyle w:val="style0"/>
        <w:jc w:val="both"/>
      </w:pPr>
      <w:r>
        <w:rPr>
          <w:rFonts w:ascii="Arial" w:hAnsi="Arial"/>
          <w:sz w:val="22"/>
          <w:szCs w:val="22"/>
        </w:rPr>
        <w:t xml:space="preserve">Capacity building is one of the components that improves quality assurance in providing health services to the community, especially issues to do with HIV and AIDS. For the past year we didn’t have any training regarding home based care for health providers, but a refresher course was conducted for 60 volunteers </w:t>
      </w:r>
    </w:p>
    <w:p>
      <w:pPr>
        <w:pStyle w:val="style0"/>
        <w:jc w:val="both"/>
      </w:pPr>
      <w:r>
        <w:rPr>
          <w:rFonts w:ascii="Arial" w:hAnsi="Arial"/>
          <w:b/>
          <w:sz w:val="22"/>
          <w:szCs w:val="22"/>
        </w:rPr>
      </w:r>
    </w:p>
    <w:p>
      <w:pPr>
        <w:pStyle w:val="style0"/>
        <w:jc w:val="both"/>
      </w:pPr>
      <w:r>
        <w:rPr>
          <w:rFonts w:ascii="Arial" w:hAnsi="Arial"/>
          <w:b/>
          <w:sz w:val="22"/>
          <w:szCs w:val="22"/>
        </w:rPr>
        <w:t>Service delivery:</w:t>
      </w:r>
    </w:p>
    <w:p>
      <w:pPr>
        <w:pStyle w:val="style0"/>
        <w:jc w:val="both"/>
      </w:pPr>
      <w:r>
        <w:rPr>
          <w:rFonts w:ascii="Arial" w:hAnsi="Arial"/>
          <w:b/>
          <w:sz w:val="22"/>
          <w:szCs w:val="22"/>
        </w:rPr>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4644"/>
        <w:gridCol w:w="1701"/>
        <w:gridCol w:w="1843"/>
        <w:gridCol w:w="1659"/>
      </w:tblGrid>
      <w:tr>
        <w:trPr>
          <w:cantSplit w:val="false"/>
        </w:trPr>
        <w:tc>
          <w:tcPr>
            <w:tcW w:type="dxa" w:w="46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r>
          </w:p>
        </w:tc>
        <w:tc>
          <w:tcPr>
            <w:tcW w:type="dxa" w:w="17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Male</w:t>
            </w:r>
          </w:p>
        </w:tc>
        <w:tc>
          <w:tcPr>
            <w:tcW w:type="dxa" w:w="184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Female</w:t>
            </w:r>
          </w:p>
        </w:tc>
        <w:tc>
          <w:tcPr>
            <w:tcW w:type="dxa" w:w="1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TOTAL</w:t>
            </w:r>
          </w:p>
        </w:tc>
      </w:tr>
      <w:tr>
        <w:trPr>
          <w:cantSplit w:val="false"/>
        </w:trPr>
        <w:tc>
          <w:tcPr>
            <w:tcW w:type="dxa" w:w="46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 xml:space="preserve"> </w:t>
            </w:r>
            <w:r>
              <w:rPr>
                <w:rFonts w:cs="Times New Roman" w:eastAsia="Times New Roman"/>
                <w:b/>
                <w:sz w:val="20"/>
                <w:szCs w:val="20"/>
              </w:rPr>
              <w:t xml:space="preserve">New patients </w:t>
            </w:r>
          </w:p>
          <w:p>
            <w:pPr>
              <w:pStyle w:val="style0"/>
              <w:jc w:val="both"/>
            </w:pPr>
            <w:r>
              <w:rPr>
                <w:rFonts w:cs="Times New Roman" w:eastAsia="Times New Roman"/>
                <w:b/>
                <w:sz w:val="20"/>
                <w:szCs w:val="20"/>
              </w:rPr>
            </w:r>
          </w:p>
        </w:tc>
        <w:tc>
          <w:tcPr>
            <w:tcW w:type="dxa" w:w="17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24</w:t>
            </w:r>
          </w:p>
        </w:tc>
        <w:tc>
          <w:tcPr>
            <w:tcW w:type="dxa" w:w="184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39</w:t>
            </w:r>
          </w:p>
        </w:tc>
        <w:tc>
          <w:tcPr>
            <w:tcW w:type="dxa" w:w="1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63</w:t>
            </w:r>
          </w:p>
        </w:tc>
      </w:tr>
      <w:tr>
        <w:trPr>
          <w:cantSplit w:val="false"/>
        </w:trPr>
        <w:tc>
          <w:tcPr>
            <w:tcW w:type="dxa" w:w="46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 xml:space="preserve">Old patients from 2012 - 2013 </w:t>
            </w:r>
          </w:p>
          <w:p>
            <w:pPr>
              <w:pStyle w:val="style0"/>
              <w:jc w:val="both"/>
            </w:pPr>
            <w:r>
              <w:rPr>
                <w:rFonts w:cs="Times New Roman" w:eastAsia="Times New Roman"/>
                <w:b/>
                <w:sz w:val="20"/>
                <w:szCs w:val="20"/>
              </w:rPr>
            </w:r>
          </w:p>
        </w:tc>
        <w:tc>
          <w:tcPr>
            <w:tcW w:type="dxa" w:w="17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9</w:t>
            </w:r>
          </w:p>
        </w:tc>
        <w:tc>
          <w:tcPr>
            <w:tcW w:type="dxa" w:w="184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19</w:t>
            </w:r>
          </w:p>
        </w:tc>
        <w:tc>
          <w:tcPr>
            <w:tcW w:type="dxa" w:w="1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28</w:t>
            </w:r>
          </w:p>
        </w:tc>
      </w:tr>
      <w:tr>
        <w:trPr>
          <w:cantSplit w:val="false"/>
        </w:trPr>
        <w:tc>
          <w:tcPr>
            <w:tcW w:type="dxa" w:w="46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Bedridden patients</w:t>
            </w:r>
          </w:p>
          <w:p>
            <w:pPr>
              <w:pStyle w:val="style0"/>
              <w:jc w:val="both"/>
            </w:pPr>
            <w:r>
              <w:rPr>
                <w:rFonts w:cs="Times New Roman" w:eastAsia="Times New Roman"/>
                <w:b/>
                <w:sz w:val="20"/>
                <w:szCs w:val="20"/>
              </w:rPr>
            </w:r>
          </w:p>
        </w:tc>
        <w:tc>
          <w:tcPr>
            <w:tcW w:type="dxa" w:w="17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14</w:t>
            </w:r>
          </w:p>
        </w:tc>
        <w:tc>
          <w:tcPr>
            <w:tcW w:type="dxa" w:w="184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21</w:t>
            </w:r>
          </w:p>
        </w:tc>
        <w:tc>
          <w:tcPr>
            <w:tcW w:type="dxa" w:w="1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35</w:t>
            </w:r>
          </w:p>
        </w:tc>
      </w:tr>
      <w:tr>
        <w:trPr>
          <w:cantSplit w:val="false"/>
        </w:trPr>
        <w:tc>
          <w:tcPr>
            <w:tcW w:type="dxa" w:w="46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Deaths</w:t>
            </w:r>
          </w:p>
          <w:p>
            <w:pPr>
              <w:pStyle w:val="style0"/>
              <w:jc w:val="both"/>
            </w:pPr>
            <w:r>
              <w:rPr>
                <w:rFonts w:cs="Times New Roman" w:eastAsia="Times New Roman"/>
                <w:b/>
                <w:sz w:val="20"/>
                <w:szCs w:val="20"/>
              </w:rPr>
            </w:r>
          </w:p>
        </w:tc>
        <w:tc>
          <w:tcPr>
            <w:tcW w:type="dxa" w:w="17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9</w:t>
            </w:r>
          </w:p>
        </w:tc>
        <w:tc>
          <w:tcPr>
            <w:tcW w:type="dxa" w:w="184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12</w:t>
            </w:r>
          </w:p>
        </w:tc>
        <w:tc>
          <w:tcPr>
            <w:tcW w:type="dxa" w:w="1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21</w:t>
            </w:r>
          </w:p>
        </w:tc>
      </w:tr>
      <w:tr>
        <w:trPr>
          <w:cantSplit w:val="false"/>
        </w:trPr>
        <w:tc>
          <w:tcPr>
            <w:tcW w:type="dxa" w:w="46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Nutritional support</w:t>
            </w:r>
          </w:p>
          <w:p>
            <w:pPr>
              <w:pStyle w:val="style0"/>
              <w:jc w:val="both"/>
            </w:pPr>
            <w:r>
              <w:rPr>
                <w:rFonts w:cs="Times New Roman" w:eastAsia="Times New Roman"/>
                <w:b/>
                <w:sz w:val="20"/>
                <w:szCs w:val="20"/>
              </w:rPr>
            </w:r>
          </w:p>
        </w:tc>
        <w:tc>
          <w:tcPr>
            <w:tcW w:type="dxa" w:w="17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b/>
                <w:sz w:val="20"/>
                <w:szCs w:val="20"/>
              </w:rPr>
              <w:t>8</w:t>
            </w:r>
          </w:p>
        </w:tc>
        <w:tc>
          <w:tcPr>
            <w:tcW w:type="dxa" w:w="184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b/>
                <w:sz w:val="20"/>
                <w:szCs w:val="20"/>
              </w:rPr>
              <w:t>11</w:t>
            </w:r>
          </w:p>
        </w:tc>
        <w:tc>
          <w:tcPr>
            <w:tcW w:type="dxa" w:w="1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b/>
                <w:sz w:val="20"/>
                <w:szCs w:val="20"/>
              </w:rPr>
              <w:t>19</w:t>
            </w:r>
          </w:p>
        </w:tc>
      </w:tr>
      <w:tr>
        <w:trPr>
          <w:cantSplit w:val="false"/>
        </w:trPr>
        <w:tc>
          <w:tcPr>
            <w:tcW w:type="dxa" w:w="464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Patients who received nutritional support</w:t>
            </w:r>
          </w:p>
        </w:tc>
        <w:tc>
          <w:tcPr>
            <w:tcW w:type="dxa" w:w="17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b/>
                <w:sz w:val="20"/>
                <w:szCs w:val="20"/>
              </w:rPr>
              <w:t>3</w:t>
            </w:r>
          </w:p>
        </w:tc>
        <w:tc>
          <w:tcPr>
            <w:tcW w:type="dxa" w:w="184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b/>
                <w:sz w:val="20"/>
                <w:szCs w:val="20"/>
              </w:rPr>
              <w:t>7</w:t>
            </w:r>
          </w:p>
        </w:tc>
        <w:tc>
          <w:tcPr>
            <w:tcW w:type="dxa" w:w="1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b/>
                <w:sz w:val="20"/>
                <w:szCs w:val="20"/>
              </w:rPr>
              <w:t>10</w:t>
            </w:r>
          </w:p>
        </w:tc>
      </w:tr>
    </w:tbl>
    <w:p>
      <w:pPr>
        <w:pStyle w:val="style0"/>
        <w:jc w:val="both"/>
      </w:pPr>
      <w:r>
        <w:rPr>
          <w:rFonts w:ascii="Arial" w:hAnsi="Arial"/>
          <w:b/>
          <w:sz w:val="22"/>
          <w:szCs w:val="22"/>
        </w:rPr>
      </w:r>
    </w:p>
    <w:p>
      <w:pPr>
        <w:pStyle w:val="style0"/>
        <w:jc w:val="both"/>
      </w:pPr>
      <w:r>
        <w:rPr>
          <w:rFonts w:ascii="Arial" w:hAnsi="Arial"/>
          <w:b/>
          <w:sz w:val="22"/>
          <w:szCs w:val="22"/>
        </w:rPr>
      </w:r>
    </w:p>
    <w:p>
      <w:pPr>
        <w:pStyle w:val="style0"/>
        <w:spacing w:line="276" w:lineRule="auto"/>
        <w:jc w:val="both"/>
      </w:pPr>
      <w:r>
        <w:rPr>
          <w:rFonts w:ascii="Arial" w:hAnsi="Arial"/>
          <w:b/>
          <w:sz w:val="22"/>
          <w:szCs w:val="22"/>
        </w:rPr>
        <w:t>14 . HIV &amp; AIDS, POSITIVE LIVING TRAINING FOR SUPPORT GROUPS</w:t>
      </w:r>
    </w:p>
    <w:p>
      <w:pPr>
        <w:pStyle w:val="style0"/>
        <w:spacing w:line="276" w:lineRule="auto"/>
        <w:jc w:val="both"/>
      </w:pPr>
      <w:r>
        <w:rPr>
          <w:rFonts w:ascii="Arial" w:hAnsi="Arial"/>
          <w:b/>
          <w:sz w:val="22"/>
          <w:szCs w:val="22"/>
        </w:rPr>
      </w:r>
    </w:p>
    <w:p>
      <w:pPr>
        <w:pStyle w:val="style0"/>
        <w:spacing w:line="276" w:lineRule="auto"/>
        <w:jc w:val="both"/>
      </w:pPr>
      <w:r>
        <w:rPr>
          <w:rFonts w:ascii="Arial" w:hAnsi="Arial"/>
          <w:b/>
          <w:sz w:val="22"/>
          <w:szCs w:val="22"/>
        </w:rPr>
        <w:t>Introduction.</w:t>
      </w:r>
    </w:p>
    <w:p>
      <w:pPr>
        <w:pStyle w:val="style0"/>
        <w:spacing w:line="276" w:lineRule="auto"/>
        <w:jc w:val="both"/>
      </w:pPr>
      <w:r>
        <w:rPr>
          <w:rFonts w:ascii="Arial" w:hAnsi="Arial"/>
          <w:b/>
          <w:sz w:val="22"/>
          <w:szCs w:val="22"/>
        </w:rPr>
      </w:r>
    </w:p>
    <w:p>
      <w:pPr>
        <w:pStyle w:val="style0"/>
        <w:spacing w:line="276" w:lineRule="auto"/>
        <w:jc w:val="both"/>
      </w:pPr>
      <w:r>
        <w:rPr>
          <w:rFonts w:ascii="Arial" w:hAnsi="Arial"/>
          <w:sz w:val="22"/>
          <w:szCs w:val="22"/>
        </w:rPr>
        <w:t>This report provides an overview of what transpired during a three day support group training which was conducted on 12</w:t>
      </w:r>
      <w:r>
        <w:rPr>
          <w:rFonts w:ascii="Arial" w:hAnsi="Arial"/>
          <w:sz w:val="22"/>
          <w:szCs w:val="22"/>
          <w:vertAlign w:val="superscript"/>
        </w:rPr>
        <w:t>th</w:t>
      </w:r>
      <w:r>
        <w:rPr>
          <w:rFonts w:ascii="Arial" w:hAnsi="Arial"/>
          <w:sz w:val="22"/>
          <w:szCs w:val="22"/>
        </w:rPr>
        <w:t xml:space="preserve"> - 15</w:t>
      </w:r>
      <w:r>
        <w:rPr>
          <w:rFonts w:ascii="Arial" w:hAnsi="Arial"/>
          <w:sz w:val="22"/>
          <w:szCs w:val="22"/>
          <w:vertAlign w:val="superscript"/>
        </w:rPr>
        <w:t>th</w:t>
      </w:r>
      <w:r>
        <w:rPr>
          <w:rFonts w:ascii="Arial" w:hAnsi="Arial"/>
          <w:sz w:val="22"/>
          <w:szCs w:val="22"/>
        </w:rPr>
        <w:t xml:space="preserve"> February, 2014 at the PHC training centre. 30 participants were invited.</w:t>
      </w:r>
    </w:p>
    <w:p>
      <w:pPr>
        <w:pStyle w:val="style0"/>
        <w:spacing w:line="276" w:lineRule="auto"/>
        <w:jc w:val="both"/>
      </w:pPr>
      <w:r>
        <w:rPr>
          <w:rFonts w:ascii="Arial" w:hAnsi="Arial"/>
          <w:sz w:val="22"/>
          <w:szCs w:val="22"/>
        </w:rPr>
      </w:r>
    </w:p>
    <w:p>
      <w:pPr>
        <w:pStyle w:val="style0"/>
        <w:keepNext/>
        <w:spacing w:line="276" w:lineRule="auto"/>
        <w:jc w:val="both"/>
      </w:pPr>
      <w:r>
        <w:rPr/>
        <w:drawing>
          <wp:inline distB="0" distL="0" distR="0" distT="0">
            <wp:extent cx="6020435" cy="2867660"/>
            <wp:effectExtent b="0" l="0" r="0" t="0"/>
            <wp:docPr descr="WP_20140219_009"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P_20140219_009" id="11" name="Picture"/>
                    <pic:cNvPicPr>
                      <a:picLocks noChangeArrowheads="1" noChangeAspect="1"/>
                    </pic:cNvPicPr>
                  </pic:nvPicPr>
                  <pic:blipFill>
                    <a:blip r:embed="rId13"/>
                    <a:srcRect/>
                    <a:stretch>
                      <a:fillRect/>
                    </a:stretch>
                  </pic:blipFill>
                  <pic:spPr bwMode="auto">
                    <a:xfrm>
                      <a:off x="0" y="0"/>
                      <a:ext cx="6020435" cy="2867660"/>
                    </a:xfrm>
                    <a:prstGeom prst="rect">
                      <a:avLst/>
                    </a:prstGeom>
                    <a:noFill/>
                    <a:ln w="9525">
                      <a:noFill/>
                      <a:miter lim="800000"/>
                      <a:headEnd/>
                      <a:tailEnd/>
                    </a:ln>
                  </pic:spPr>
                </pic:pic>
              </a:graphicData>
            </a:graphic>
          </wp:inline>
        </w:drawing>
      </w:r>
    </w:p>
    <w:p>
      <w:pPr>
        <w:pStyle w:val="style36"/>
        <w:numPr>
          <w:ilvl w:val="0"/>
          <w:numId w:val="24"/>
        </w:numPr>
        <w:jc w:val="both"/>
      </w:pPr>
      <w:r>
        <w:rPr>
          <w:rFonts w:ascii="Arial" w:hAnsi="Arial"/>
          <w:b w:val="false"/>
          <w:bCs w:val="false"/>
          <w:sz w:val="22"/>
          <w:szCs w:val="22"/>
        </w:rPr>
        <w:t xml:space="preserve">Figure </w:t>
      </w:r>
      <w:r>
        <w:rPr>
          <w:rFonts w:ascii="Arial" w:hAnsi="Arial"/>
          <w:b w:val="false"/>
          <w:bCs w:val="false"/>
          <w:sz w:val="22"/>
          <w:szCs w:val="22"/>
        </w:rPr>
        <w:fldChar w:fldCharType="begin"/>
      </w:r>
      <w:r>
        <w:instrText> SEQ "Figure" \*Arabic </w:instrText>
      </w:r>
      <w:r>
        <w:fldChar w:fldCharType="separate"/>
      </w:r>
      <w:r>
        <w:t>5</w:t>
      </w:r>
      <w:r>
        <w:fldChar w:fldCharType="end"/>
      </w:r>
      <w:r>
        <w:rPr>
          <w:rFonts w:ascii="Arial" w:hAnsi="Arial"/>
          <w:b w:val="false"/>
          <w:bCs w:val="false"/>
          <w:sz w:val="22"/>
          <w:szCs w:val="22"/>
        </w:rPr>
        <w:t xml:space="preserve"> Training in progress</w:t>
      </w:r>
    </w:p>
    <w:p>
      <w:pPr>
        <w:pStyle w:val="style0"/>
        <w:spacing w:line="276" w:lineRule="auto"/>
        <w:jc w:val="both"/>
      </w:pPr>
      <w:r>
        <w:rPr>
          <w:rFonts w:ascii="Arial" w:hAnsi="Arial"/>
          <w:b/>
          <w:sz w:val="22"/>
          <w:szCs w:val="22"/>
        </w:rPr>
        <w:t>Main objective.</w:t>
      </w:r>
    </w:p>
    <w:p>
      <w:pPr>
        <w:pStyle w:val="style0"/>
        <w:spacing w:line="276" w:lineRule="auto"/>
        <w:jc w:val="both"/>
      </w:pPr>
      <w:r>
        <w:rPr>
          <w:rFonts w:ascii="Arial" w:hAnsi="Arial"/>
          <w:sz w:val="22"/>
          <w:szCs w:val="22"/>
        </w:rPr>
        <w:t>The main objective of the training was to train support group members on positive living and leadership skills.</w:t>
      </w:r>
    </w:p>
    <w:p>
      <w:pPr>
        <w:pStyle w:val="style0"/>
        <w:spacing w:line="276" w:lineRule="auto"/>
        <w:jc w:val="both"/>
      </w:pPr>
      <w:r>
        <w:rPr>
          <w:rFonts w:ascii="Arial" w:hAnsi="Arial"/>
          <w:b/>
          <w:sz w:val="22"/>
          <w:szCs w:val="22"/>
        </w:rPr>
        <w:t>Overall Objective.</w:t>
      </w:r>
    </w:p>
    <w:p>
      <w:pPr>
        <w:pStyle w:val="style0"/>
        <w:spacing w:line="276" w:lineRule="auto"/>
        <w:jc w:val="both"/>
      </w:pPr>
      <w:r>
        <w:rPr>
          <w:rFonts w:ascii="Arial" w:hAnsi="Arial"/>
          <w:sz w:val="22"/>
          <w:szCs w:val="22"/>
        </w:rPr>
        <w:t>To impart knowledge and skills on how to live positively also on how to run support groups in various communities</w:t>
      </w:r>
    </w:p>
    <w:p>
      <w:pPr>
        <w:pStyle w:val="style0"/>
        <w:spacing w:line="276" w:lineRule="auto"/>
        <w:jc w:val="both"/>
      </w:pPr>
      <w:r>
        <w:rPr>
          <w:rFonts w:ascii="Arial" w:hAnsi="Arial"/>
          <w:b/>
          <w:sz w:val="22"/>
          <w:szCs w:val="22"/>
        </w:rPr>
        <w:t>Structure of the training.</w:t>
      </w:r>
    </w:p>
    <w:p>
      <w:pPr>
        <w:pStyle w:val="style0"/>
        <w:spacing w:line="276" w:lineRule="auto"/>
        <w:jc w:val="both"/>
      </w:pPr>
      <w:r>
        <w:rPr>
          <w:rFonts w:ascii="Arial" w:hAnsi="Arial"/>
          <w:sz w:val="22"/>
          <w:szCs w:val="22"/>
        </w:rPr>
        <w:t>The training was conducted in the morning for discussions and in the afternoon it was practical work for the trainers. On the last day of the training it was for designing action plan that trainers will be following in the next three months. Five trainers facilitated the training, three community nurse from PHC and HIV and AIDS coordinator.</w:t>
      </w:r>
    </w:p>
    <w:p>
      <w:pPr>
        <w:pStyle w:val="style0"/>
        <w:spacing w:line="276" w:lineRule="auto"/>
        <w:jc w:val="both"/>
      </w:pPr>
      <w:r>
        <w:rPr>
          <w:rFonts w:ascii="Arial" w:hAnsi="Arial"/>
          <w:b/>
          <w:sz w:val="22"/>
          <w:szCs w:val="22"/>
        </w:rPr>
        <w:t>Expectations.</w:t>
      </w:r>
    </w:p>
    <w:p>
      <w:pPr>
        <w:pStyle w:val="style0"/>
        <w:spacing w:line="276" w:lineRule="auto"/>
        <w:jc w:val="both"/>
      </w:pPr>
      <w:r>
        <w:rPr>
          <w:rFonts w:ascii="Arial" w:hAnsi="Arial"/>
          <w:sz w:val="22"/>
          <w:szCs w:val="22"/>
        </w:rPr>
        <w:t>In this training support group members were expecting the following:</w:t>
      </w:r>
    </w:p>
    <w:p>
      <w:pPr>
        <w:pStyle w:val="style0"/>
        <w:spacing w:line="276" w:lineRule="auto"/>
        <w:jc w:val="both"/>
      </w:pPr>
      <w:r>
        <w:rPr>
          <w:rFonts w:ascii="Arial" w:hAnsi="Arial"/>
          <w:sz w:val="22"/>
          <w:szCs w:val="22"/>
        </w:rPr>
        <w:t>-To upgrade their knowledge on positive living skills and leadership skills</w:t>
      </w:r>
    </w:p>
    <w:p>
      <w:pPr>
        <w:pStyle w:val="style0"/>
        <w:spacing w:line="276" w:lineRule="auto"/>
        <w:jc w:val="both"/>
      </w:pPr>
      <w:r>
        <w:rPr>
          <w:rFonts w:ascii="Arial" w:hAnsi="Arial"/>
          <w:sz w:val="22"/>
          <w:szCs w:val="22"/>
        </w:rPr>
        <w:t xml:space="preserve">-To know some other teaching methodologies </w:t>
      </w:r>
    </w:p>
    <w:p>
      <w:pPr>
        <w:pStyle w:val="style0"/>
        <w:spacing w:line="276" w:lineRule="auto"/>
        <w:jc w:val="both"/>
      </w:pPr>
      <w:r>
        <w:rPr>
          <w:rFonts w:ascii="Arial" w:hAnsi="Arial"/>
          <w:sz w:val="22"/>
          <w:szCs w:val="22"/>
        </w:rPr>
        <w:t>-To know other health services that are relevant to them.</w:t>
      </w:r>
    </w:p>
    <w:p>
      <w:pPr>
        <w:pStyle w:val="style0"/>
        <w:spacing w:line="276" w:lineRule="auto"/>
        <w:jc w:val="both"/>
      </w:pPr>
      <w:r>
        <w:rPr>
          <w:rFonts w:ascii="Arial" w:hAnsi="Arial"/>
          <w:sz w:val="22"/>
          <w:szCs w:val="22"/>
        </w:rPr>
        <w:t>- Guidance and counselling</w:t>
      </w:r>
    </w:p>
    <w:p>
      <w:pPr>
        <w:pStyle w:val="style0"/>
        <w:spacing w:line="276" w:lineRule="auto"/>
        <w:jc w:val="both"/>
      </w:pPr>
      <w:r>
        <w:rPr>
          <w:rFonts w:ascii="Arial" w:hAnsi="Arial"/>
          <w:sz w:val="22"/>
          <w:szCs w:val="22"/>
        </w:rPr>
        <w:tab/>
      </w:r>
    </w:p>
    <w:p>
      <w:pPr>
        <w:pStyle w:val="style0"/>
        <w:numPr>
          <w:ilvl w:val="0"/>
          <w:numId w:val="22"/>
        </w:numPr>
        <w:spacing w:line="276" w:lineRule="auto"/>
        <w:jc w:val="both"/>
      </w:pPr>
      <w:r>
        <w:rPr>
          <w:rFonts w:ascii="Arial" w:hAnsi="Arial"/>
          <w:b/>
          <w:sz w:val="22"/>
          <w:szCs w:val="22"/>
        </w:rPr>
        <w:t xml:space="preserve">Units covered </w:t>
      </w:r>
    </w:p>
    <w:p>
      <w:pPr>
        <w:pStyle w:val="style0"/>
        <w:numPr>
          <w:ilvl w:val="0"/>
          <w:numId w:val="12"/>
        </w:numPr>
        <w:spacing w:line="276" w:lineRule="auto"/>
        <w:jc w:val="both"/>
      </w:pPr>
      <w:r>
        <w:rPr>
          <w:rFonts w:ascii="Arial" w:hAnsi="Arial"/>
          <w:sz w:val="22"/>
          <w:szCs w:val="22"/>
        </w:rPr>
        <w:t>Defining support group</w:t>
      </w:r>
    </w:p>
    <w:p>
      <w:pPr>
        <w:pStyle w:val="style0"/>
        <w:numPr>
          <w:ilvl w:val="0"/>
          <w:numId w:val="12"/>
        </w:numPr>
        <w:spacing w:line="276" w:lineRule="auto"/>
        <w:jc w:val="both"/>
      </w:pPr>
      <w:r>
        <w:rPr>
          <w:rFonts w:ascii="Arial" w:hAnsi="Arial"/>
          <w:sz w:val="22"/>
          <w:szCs w:val="22"/>
        </w:rPr>
        <w:t>How to run support groups</w:t>
      </w:r>
    </w:p>
    <w:p>
      <w:pPr>
        <w:pStyle w:val="style0"/>
        <w:numPr>
          <w:ilvl w:val="0"/>
          <w:numId w:val="12"/>
        </w:numPr>
        <w:spacing w:line="276" w:lineRule="auto"/>
        <w:jc w:val="both"/>
      </w:pPr>
      <w:r>
        <w:rPr>
          <w:rFonts w:ascii="Arial" w:hAnsi="Arial"/>
          <w:sz w:val="22"/>
          <w:szCs w:val="22"/>
        </w:rPr>
        <w:t>Support group meetings</w:t>
      </w:r>
    </w:p>
    <w:p>
      <w:pPr>
        <w:pStyle w:val="style0"/>
        <w:numPr>
          <w:ilvl w:val="0"/>
          <w:numId w:val="12"/>
        </w:numPr>
        <w:spacing w:line="276" w:lineRule="auto"/>
        <w:jc w:val="both"/>
      </w:pPr>
      <w:r>
        <w:rPr>
          <w:rFonts w:ascii="Arial" w:hAnsi="Arial"/>
          <w:sz w:val="22"/>
          <w:szCs w:val="22"/>
        </w:rPr>
        <w:t>NAPHAM programs and duties of support groups</w:t>
      </w:r>
    </w:p>
    <w:p>
      <w:pPr>
        <w:pStyle w:val="style0"/>
        <w:numPr>
          <w:ilvl w:val="0"/>
          <w:numId w:val="12"/>
        </w:numPr>
        <w:spacing w:line="276" w:lineRule="auto"/>
        <w:jc w:val="both"/>
      </w:pPr>
      <w:r>
        <w:rPr>
          <w:rFonts w:ascii="Arial" w:hAnsi="Arial"/>
          <w:sz w:val="22"/>
          <w:szCs w:val="22"/>
        </w:rPr>
        <w:t>Identifying  and analyzing support group programs</w:t>
      </w:r>
    </w:p>
    <w:p>
      <w:pPr>
        <w:pStyle w:val="style0"/>
        <w:numPr>
          <w:ilvl w:val="0"/>
          <w:numId w:val="12"/>
        </w:numPr>
        <w:spacing w:line="276" w:lineRule="auto"/>
        <w:jc w:val="both"/>
      </w:pPr>
      <w:r>
        <w:rPr>
          <w:rFonts w:ascii="Arial" w:hAnsi="Arial"/>
          <w:sz w:val="22"/>
          <w:szCs w:val="22"/>
        </w:rPr>
        <w:t>Report writing</w:t>
      </w:r>
    </w:p>
    <w:p>
      <w:pPr>
        <w:pStyle w:val="style0"/>
        <w:numPr>
          <w:ilvl w:val="0"/>
          <w:numId w:val="12"/>
        </w:numPr>
        <w:spacing w:line="276" w:lineRule="auto"/>
        <w:jc w:val="both"/>
      </w:pPr>
      <w:r>
        <w:rPr>
          <w:rFonts w:ascii="Arial" w:hAnsi="Arial"/>
          <w:sz w:val="22"/>
          <w:szCs w:val="22"/>
        </w:rPr>
        <w:t>Networking and linkage with government and other organizations.</w:t>
      </w:r>
    </w:p>
    <w:p>
      <w:pPr>
        <w:pStyle w:val="style0"/>
        <w:spacing w:line="276" w:lineRule="auto"/>
        <w:ind w:hanging="0" w:left="720" w:right="0"/>
        <w:jc w:val="both"/>
      </w:pPr>
      <w:r>
        <w:rPr>
          <w:rFonts w:ascii="Arial" w:hAnsi="Arial"/>
          <w:sz w:val="22"/>
          <w:szCs w:val="22"/>
        </w:rPr>
      </w:r>
    </w:p>
    <w:p>
      <w:pPr>
        <w:pStyle w:val="style0"/>
        <w:numPr>
          <w:ilvl w:val="0"/>
          <w:numId w:val="22"/>
        </w:numPr>
        <w:spacing w:line="276" w:lineRule="auto"/>
        <w:jc w:val="both"/>
      </w:pPr>
      <w:r>
        <w:rPr>
          <w:rFonts w:ascii="Arial" w:hAnsi="Arial"/>
          <w:b/>
          <w:sz w:val="22"/>
          <w:szCs w:val="22"/>
        </w:rPr>
        <w:t>Lesson learnt from the traning</w:t>
      </w:r>
      <w:r>
        <w:rPr>
          <w:rFonts w:ascii="Arial" w:hAnsi="Arial"/>
          <w:sz w:val="22"/>
          <w:szCs w:val="22"/>
        </w:rPr>
        <w:t>.</w:t>
      </w:r>
    </w:p>
    <w:p>
      <w:pPr>
        <w:pStyle w:val="style0"/>
        <w:numPr>
          <w:ilvl w:val="0"/>
          <w:numId w:val="13"/>
        </w:numPr>
        <w:spacing w:line="276" w:lineRule="auto"/>
        <w:jc w:val="both"/>
      </w:pPr>
      <w:r>
        <w:rPr>
          <w:rFonts w:ascii="Arial" w:hAnsi="Arial"/>
          <w:sz w:val="22"/>
          <w:szCs w:val="22"/>
        </w:rPr>
        <w:t>Lack of knowledge, especially on how to run support groups</w:t>
      </w:r>
    </w:p>
    <w:p>
      <w:pPr>
        <w:pStyle w:val="style0"/>
        <w:numPr>
          <w:ilvl w:val="0"/>
          <w:numId w:val="13"/>
        </w:numPr>
        <w:spacing w:line="276" w:lineRule="auto"/>
        <w:jc w:val="both"/>
      </w:pPr>
      <w:r>
        <w:rPr>
          <w:rFonts w:ascii="Arial" w:hAnsi="Arial"/>
          <w:sz w:val="22"/>
          <w:szCs w:val="22"/>
        </w:rPr>
        <w:t>Documentation and report writing.</w:t>
      </w:r>
    </w:p>
    <w:p>
      <w:pPr>
        <w:pStyle w:val="style0"/>
        <w:numPr>
          <w:ilvl w:val="0"/>
          <w:numId w:val="13"/>
        </w:numPr>
        <w:spacing w:line="276" w:lineRule="auto"/>
        <w:jc w:val="both"/>
      </w:pPr>
      <w:r>
        <w:rPr>
          <w:rFonts w:ascii="Arial" w:hAnsi="Arial"/>
          <w:sz w:val="22"/>
          <w:szCs w:val="22"/>
        </w:rPr>
        <w:t>Discrimination from the community.</w:t>
      </w:r>
    </w:p>
    <w:p>
      <w:pPr>
        <w:pStyle w:val="style0"/>
        <w:numPr>
          <w:ilvl w:val="0"/>
          <w:numId w:val="13"/>
        </w:numPr>
        <w:spacing w:line="276" w:lineRule="auto"/>
        <w:jc w:val="both"/>
      </w:pPr>
      <w:r>
        <w:rPr>
          <w:rFonts w:ascii="Arial" w:hAnsi="Arial"/>
          <w:sz w:val="22"/>
          <w:szCs w:val="22"/>
        </w:rPr>
        <w:t>Men living with HIV and AIDS not participating in support groups.</w:t>
      </w:r>
    </w:p>
    <w:p>
      <w:pPr>
        <w:pStyle w:val="style0"/>
        <w:numPr>
          <w:ilvl w:val="0"/>
          <w:numId w:val="13"/>
        </w:numPr>
        <w:spacing w:line="276" w:lineRule="auto"/>
        <w:jc w:val="both"/>
      </w:pPr>
      <w:r>
        <w:rPr>
          <w:rFonts w:ascii="Arial" w:hAnsi="Arial"/>
          <w:sz w:val="22"/>
          <w:szCs w:val="22"/>
        </w:rPr>
        <w:t>Inadequate leadership skills.</w:t>
      </w:r>
    </w:p>
    <w:p>
      <w:pPr>
        <w:pStyle w:val="style0"/>
        <w:numPr>
          <w:ilvl w:val="0"/>
          <w:numId w:val="13"/>
        </w:numPr>
        <w:spacing w:line="276" w:lineRule="auto"/>
        <w:jc w:val="both"/>
      </w:pPr>
      <w:r>
        <w:rPr>
          <w:rFonts w:ascii="Arial" w:hAnsi="Arial"/>
          <w:sz w:val="22"/>
          <w:szCs w:val="22"/>
        </w:rPr>
        <w:t>Income generating activities not being done to support the running of support groups, also individuals.</w:t>
      </w:r>
    </w:p>
    <w:p>
      <w:pPr>
        <w:pStyle w:val="style0"/>
        <w:numPr>
          <w:ilvl w:val="0"/>
          <w:numId w:val="22"/>
        </w:numPr>
        <w:spacing w:line="276" w:lineRule="auto"/>
        <w:jc w:val="both"/>
      </w:pPr>
      <w:r>
        <w:rPr>
          <w:rFonts w:ascii="Arial" w:hAnsi="Arial"/>
          <w:b/>
          <w:sz w:val="22"/>
          <w:szCs w:val="22"/>
        </w:rPr>
        <w:t>Challenges:</w:t>
      </w:r>
    </w:p>
    <w:p>
      <w:pPr>
        <w:pStyle w:val="style0"/>
        <w:numPr>
          <w:ilvl w:val="0"/>
          <w:numId w:val="15"/>
        </w:numPr>
        <w:spacing w:line="276" w:lineRule="auto"/>
        <w:jc w:val="both"/>
      </w:pPr>
      <w:r>
        <w:rPr>
          <w:rFonts w:ascii="Arial" w:hAnsi="Arial"/>
          <w:sz w:val="22"/>
          <w:szCs w:val="22"/>
        </w:rPr>
        <w:t>Lack of training manuals both for Chichewa and English version.</w:t>
      </w:r>
    </w:p>
    <w:p>
      <w:pPr>
        <w:pStyle w:val="style0"/>
        <w:numPr>
          <w:ilvl w:val="0"/>
          <w:numId w:val="15"/>
        </w:numPr>
        <w:spacing w:line="276" w:lineRule="auto"/>
        <w:jc w:val="both"/>
      </w:pPr>
      <w:r>
        <w:rPr>
          <w:rFonts w:ascii="Arial" w:hAnsi="Arial"/>
          <w:sz w:val="22"/>
          <w:szCs w:val="22"/>
        </w:rPr>
        <w:t>Training period was very short.</w:t>
      </w:r>
    </w:p>
    <w:p>
      <w:pPr>
        <w:pStyle w:val="style0"/>
        <w:spacing w:line="276" w:lineRule="auto"/>
        <w:jc w:val="both"/>
      </w:pPr>
      <w:r>
        <w:rPr>
          <w:rFonts w:ascii="Arial" w:hAnsi="Arial"/>
          <w:sz w:val="22"/>
          <w:szCs w:val="22"/>
        </w:rPr>
      </w:r>
    </w:p>
    <w:p>
      <w:pPr>
        <w:pStyle w:val="style0"/>
        <w:numPr>
          <w:ilvl w:val="0"/>
          <w:numId w:val="22"/>
        </w:numPr>
        <w:spacing w:line="276" w:lineRule="auto"/>
        <w:jc w:val="both"/>
      </w:pPr>
      <w:r>
        <w:rPr>
          <w:rFonts w:ascii="Arial" w:hAnsi="Arial"/>
          <w:b/>
          <w:sz w:val="22"/>
          <w:szCs w:val="22"/>
        </w:rPr>
        <w:t>Recommendations:</w:t>
      </w:r>
    </w:p>
    <w:p>
      <w:pPr>
        <w:pStyle w:val="style0"/>
        <w:numPr>
          <w:ilvl w:val="0"/>
          <w:numId w:val="14"/>
        </w:numPr>
        <w:spacing w:line="276" w:lineRule="auto"/>
        <w:jc w:val="both"/>
      </w:pPr>
      <w:r>
        <w:rPr>
          <w:rFonts w:ascii="Arial" w:hAnsi="Arial"/>
          <w:sz w:val="22"/>
          <w:szCs w:val="22"/>
        </w:rPr>
        <w:t>Regular supervision to monitors all programs conducted by support group hence motivate them.</w:t>
      </w:r>
    </w:p>
    <w:p>
      <w:pPr>
        <w:pStyle w:val="style0"/>
        <w:numPr>
          <w:ilvl w:val="0"/>
          <w:numId w:val="14"/>
        </w:numPr>
        <w:spacing w:line="276" w:lineRule="auto"/>
        <w:jc w:val="both"/>
      </w:pPr>
      <w:r>
        <w:rPr>
          <w:rFonts w:ascii="Arial" w:hAnsi="Arial"/>
          <w:sz w:val="22"/>
          <w:szCs w:val="22"/>
        </w:rPr>
        <w:t>To conduct more trainings and attract male participation.</w:t>
      </w:r>
    </w:p>
    <w:p>
      <w:pPr>
        <w:pStyle w:val="style0"/>
        <w:numPr>
          <w:ilvl w:val="0"/>
          <w:numId w:val="14"/>
        </w:numPr>
        <w:spacing w:line="276" w:lineRule="auto"/>
        <w:jc w:val="both"/>
      </w:pPr>
      <w:r>
        <w:rPr>
          <w:rFonts w:ascii="Arial" w:hAnsi="Arial"/>
          <w:sz w:val="22"/>
          <w:szCs w:val="22"/>
        </w:rPr>
        <w:t>To encourage exchange visits among support group and learn from each oth</w:t>
      </w:r>
    </w:p>
    <w:p>
      <w:pPr>
        <w:pStyle w:val="style0"/>
        <w:jc w:val="both"/>
      </w:pPr>
      <w:r>
        <w:rPr>
          <w:rFonts w:ascii="Arial" w:hAnsi="Arial"/>
          <w:sz w:val="22"/>
          <w:szCs w:val="22"/>
          <w:shd w:fill="FFFF00" w:val="clear"/>
        </w:rPr>
      </w:r>
    </w:p>
    <w:p>
      <w:pPr>
        <w:pStyle w:val="style0"/>
        <w:ind w:hanging="360" w:left="0" w:right="0"/>
        <w:jc w:val="both"/>
      </w:pPr>
      <w:r>
        <w:rPr/>
      </w:r>
    </w:p>
    <w:p>
      <w:pPr>
        <w:pStyle w:val="style0"/>
        <w:numPr>
          <w:ilvl w:val="0"/>
          <w:numId w:val="22"/>
        </w:numPr>
        <w:ind w:hanging="360" w:left="0" w:right="0"/>
        <w:jc w:val="both"/>
      </w:pPr>
      <w:r>
        <w:rPr>
          <w:rFonts w:ascii="Arial" w:hAnsi="Arial"/>
          <w:sz w:val="22"/>
          <w:szCs w:val="22"/>
          <w:u w:val="single"/>
        </w:rPr>
        <w:t>15. PLWA clinic</w:t>
      </w:r>
    </w:p>
    <w:p>
      <w:pPr>
        <w:pStyle w:val="style0"/>
        <w:ind w:hanging="0" w:left="720" w:right="0"/>
        <w:jc w:val="both"/>
      </w:pPr>
      <w:r>
        <w:rPr>
          <w:rFonts w:ascii="Arial" w:hAnsi="Arial"/>
          <w:sz w:val="22"/>
          <w:szCs w:val="22"/>
        </w:rPr>
        <w:t>This is a clinic that is conducted twice a month to assess people who are living with HIV. Some clients are assessed once a month while others are assessed twice depending on their clinical presentation. PLWAs are encouraged to attend this clinic so that their health status is monitored.  The following are the services that are offered</w:t>
      </w:r>
    </w:p>
    <w:p>
      <w:pPr>
        <w:pStyle w:val="style0"/>
        <w:jc w:val="both"/>
      </w:pPr>
      <w:r>
        <w:rPr>
          <w:rFonts w:ascii="Arial" w:hAnsi="Arial"/>
          <w:sz w:val="22"/>
          <w:szCs w:val="22"/>
        </w:rPr>
        <w:tab/>
        <w:tab/>
        <w:t>Health education</w:t>
      </w:r>
    </w:p>
    <w:p>
      <w:pPr>
        <w:pStyle w:val="style0"/>
        <w:jc w:val="both"/>
      </w:pPr>
      <w:r>
        <w:rPr>
          <w:rFonts w:ascii="Arial" w:hAnsi="Arial"/>
          <w:sz w:val="22"/>
          <w:szCs w:val="22"/>
        </w:rPr>
        <w:tab/>
        <w:tab/>
        <w:t>Weighing</w:t>
      </w:r>
    </w:p>
    <w:p>
      <w:pPr>
        <w:pStyle w:val="style0"/>
        <w:jc w:val="both"/>
      </w:pPr>
      <w:r>
        <w:rPr>
          <w:rFonts w:ascii="Arial" w:hAnsi="Arial"/>
          <w:sz w:val="22"/>
          <w:szCs w:val="22"/>
        </w:rPr>
        <w:tab/>
        <w:tab/>
        <w:t>Screening</w:t>
      </w:r>
    </w:p>
    <w:p>
      <w:pPr>
        <w:pStyle w:val="style0"/>
        <w:jc w:val="both"/>
      </w:pPr>
      <w:r>
        <w:rPr>
          <w:rFonts w:ascii="Arial" w:hAnsi="Arial"/>
          <w:sz w:val="22"/>
          <w:szCs w:val="22"/>
        </w:rPr>
        <w:tab/>
        <w:tab/>
        <w:t>Distribution of Likuni phala  and Chiponde</w:t>
      </w:r>
    </w:p>
    <w:p>
      <w:pPr>
        <w:pStyle w:val="style0"/>
        <w:jc w:val="both"/>
      </w:pPr>
      <w:r>
        <w:rPr>
          <w:rFonts w:ascii="Arial" w:hAnsi="Arial"/>
          <w:sz w:val="22"/>
          <w:szCs w:val="22"/>
        </w:rPr>
        <w:tab/>
        <w:tab/>
        <w:t>Ongoing counselling</w:t>
      </w:r>
    </w:p>
    <w:p>
      <w:pPr>
        <w:pStyle w:val="style0"/>
        <w:ind w:hanging="0" w:left="720" w:right="0"/>
        <w:jc w:val="both"/>
      </w:pPr>
      <w:r>
        <w:rPr>
          <w:rFonts w:ascii="Arial" w:hAnsi="Arial"/>
          <w:sz w:val="22"/>
          <w:szCs w:val="22"/>
          <w:u w:val="single"/>
        </w:rPr>
        <w:t>Preventing Mother to Child transmission</w:t>
      </w:r>
    </w:p>
    <w:p>
      <w:pPr>
        <w:pStyle w:val="style0"/>
        <w:ind w:hanging="0" w:left="720" w:right="0"/>
        <w:jc w:val="both"/>
      </w:pPr>
      <w:r>
        <w:rPr>
          <w:rFonts w:ascii="Arial" w:hAnsi="Arial"/>
          <w:sz w:val="22"/>
          <w:szCs w:val="22"/>
        </w:rPr>
        <w:t>During the year the following attended the clinic</w:t>
      </w:r>
    </w:p>
    <w:p>
      <w:pPr>
        <w:pStyle w:val="style0"/>
        <w:ind w:hanging="0" w:left="720" w:right="0"/>
        <w:jc w:val="both"/>
      </w:pPr>
      <w:r>
        <w:rPr>
          <w:rFonts w:ascii="Arial" w:hAnsi="Arial"/>
          <w:sz w:val="22"/>
          <w:szCs w:val="22"/>
        </w:rPr>
        <w:t xml:space="preserve">Pregnant women </w:t>
        <w:tab/>
        <w:tab/>
        <w:tab/>
        <w:tab/>
        <w:tab/>
        <w:tab/>
        <w:t>321</w:t>
      </w:r>
    </w:p>
    <w:p>
      <w:pPr>
        <w:pStyle w:val="style0"/>
        <w:ind w:hanging="0" w:left="720" w:right="0"/>
        <w:jc w:val="both"/>
      </w:pPr>
      <w:r>
        <w:rPr>
          <w:rFonts w:ascii="Arial" w:hAnsi="Arial"/>
          <w:sz w:val="22"/>
          <w:szCs w:val="22"/>
        </w:rPr>
        <w:t>Lactating women</w:t>
        <w:tab/>
        <w:tab/>
        <w:tab/>
        <w:tab/>
        <w:tab/>
        <w:tab/>
        <w:t xml:space="preserve">  40</w:t>
      </w:r>
    </w:p>
    <w:p>
      <w:pPr>
        <w:pStyle w:val="style0"/>
        <w:ind w:hanging="0" w:left="720" w:right="0"/>
        <w:jc w:val="both"/>
      </w:pPr>
      <w:r>
        <w:rPr>
          <w:rFonts w:ascii="Arial" w:hAnsi="Arial"/>
          <w:sz w:val="22"/>
          <w:szCs w:val="22"/>
        </w:rPr>
        <w:t>Children tested at 12 months and found reactive                      7</w:t>
      </w:r>
    </w:p>
    <w:p>
      <w:pPr>
        <w:pStyle w:val="style0"/>
        <w:ind w:hanging="0" w:left="720" w:right="0"/>
        <w:jc w:val="both"/>
      </w:pPr>
      <w:r>
        <w:rPr>
          <w:rFonts w:ascii="Arial" w:hAnsi="Arial"/>
          <w:sz w:val="22"/>
          <w:szCs w:val="22"/>
        </w:rPr>
        <w:t xml:space="preserve">Children tested at 12 months and found non-reactive </w:t>
        <w:tab/>
        <w:t>697</w:t>
      </w:r>
    </w:p>
    <w:p>
      <w:pPr>
        <w:pStyle w:val="style0"/>
        <w:ind w:hanging="0" w:left="720" w:right="0"/>
        <w:jc w:val="both"/>
      </w:pPr>
      <w:r>
        <w:rPr>
          <w:rFonts w:ascii="Arial" w:hAnsi="Arial"/>
          <w:sz w:val="22"/>
          <w:szCs w:val="22"/>
        </w:rPr>
        <w:t>PLWA                                                                                    863</w:t>
      </w:r>
    </w:p>
    <w:p>
      <w:pPr>
        <w:pStyle w:val="style0"/>
        <w:ind w:hanging="0" w:left="720" w:right="0"/>
        <w:jc w:val="both"/>
      </w:pPr>
      <w:r>
        <w:rPr/>
      </w:r>
    </w:p>
    <w:p>
      <w:pPr>
        <w:pStyle w:val="style0"/>
        <w:ind w:hanging="0" w:left="720" w:right="0"/>
        <w:jc w:val="both"/>
      </w:pPr>
      <w:r>
        <w:rPr/>
      </w:r>
    </w:p>
    <w:p>
      <w:pPr>
        <w:pStyle w:val="style7"/>
        <w:jc w:val="both"/>
      </w:pPr>
      <w:r>
        <w:rPr>
          <w:rFonts w:ascii="Arial" w:hAnsi="Arial"/>
          <w:sz w:val="22"/>
          <w:szCs w:val="22"/>
        </w:rPr>
        <w:t xml:space="preserve">16. </w:t>
        <w:tab/>
        <w:t>ORPHAN CARE AND TRAINING CENTRE</w:t>
      </w:r>
    </w:p>
    <w:p>
      <w:pPr>
        <w:pStyle w:val="style0"/>
        <w:ind w:hanging="0" w:left="720" w:right="0"/>
        <w:jc w:val="both"/>
      </w:pPr>
      <w:r>
        <w:rPr>
          <w:rFonts w:ascii="Arial" w:hAnsi="Arial"/>
          <w:sz w:val="22"/>
          <w:szCs w:val="22"/>
        </w:rPr>
      </w:r>
    </w:p>
    <w:p>
      <w:pPr>
        <w:pStyle w:val="style0"/>
        <w:ind w:hanging="0" w:left="720" w:right="0"/>
        <w:jc w:val="both"/>
      </w:pPr>
      <w:r>
        <w:rPr>
          <w:rFonts w:ascii="Arial" w:hAnsi="Arial"/>
          <w:sz w:val="22"/>
          <w:szCs w:val="22"/>
        </w:rPr>
        <w:t>To promote awareness and use of the Orphan Care and Training Center among members of the community, the following activities took place:</w:t>
      </w:r>
    </w:p>
    <w:p>
      <w:pPr>
        <w:pStyle w:val="style0"/>
        <w:numPr>
          <w:ilvl w:val="0"/>
          <w:numId w:val="3"/>
        </w:numPr>
        <w:jc w:val="both"/>
      </w:pPr>
      <w:r>
        <w:rPr>
          <w:rFonts w:ascii="Arial" w:hAnsi="Arial"/>
          <w:sz w:val="22"/>
          <w:szCs w:val="22"/>
        </w:rPr>
        <w:t>Educational talks about the center were given at all gatherings and in all trainings conducted by the PHC department.</w:t>
      </w:r>
    </w:p>
    <w:p>
      <w:pPr>
        <w:pStyle w:val="style0"/>
        <w:numPr>
          <w:ilvl w:val="0"/>
          <w:numId w:val="4"/>
        </w:numPr>
        <w:tabs>
          <w:tab w:leader="none" w:pos="3240" w:val="left"/>
        </w:tabs>
        <w:ind w:hanging="360" w:left="1620" w:right="0"/>
        <w:jc w:val="both"/>
      </w:pPr>
      <w:r>
        <w:rPr>
          <w:rFonts w:ascii="Arial" w:hAnsi="Arial"/>
          <w:sz w:val="22"/>
          <w:szCs w:val="22"/>
        </w:rPr>
        <w:t>All children registered under the program received free medication when sick.</w:t>
      </w:r>
    </w:p>
    <w:p>
      <w:pPr>
        <w:pStyle w:val="style0"/>
        <w:numPr>
          <w:ilvl w:val="0"/>
          <w:numId w:val="4"/>
        </w:numPr>
        <w:tabs>
          <w:tab w:leader="none" w:pos="3240" w:val="left"/>
        </w:tabs>
        <w:ind w:hanging="360" w:left="1620" w:right="0"/>
        <w:jc w:val="both"/>
      </w:pPr>
      <w:r>
        <w:rPr>
          <w:rFonts w:ascii="Arial" w:hAnsi="Arial"/>
          <w:sz w:val="22"/>
          <w:szCs w:val="22"/>
        </w:rPr>
        <w:t>Networking with the district hospital for referral of orphaned babies</w:t>
      </w:r>
    </w:p>
    <w:p>
      <w:pPr>
        <w:pStyle w:val="style0"/>
        <w:ind w:hanging="0" w:left="720" w:right="0"/>
        <w:jc w:val="both"/>
      </w:pPr>
      <w:r>
        <w:rPr>
          <w:rFonts w:ascii="Arial" w:hAnsi="Arial"/>
          <w:sz w:val="22"/>
          <w:szCs w:val="22"/>
        </w:rPr>
      </w:r>
    </w:p>
    <w:p>
      <w:pPr>
        <w:pStyle w:val="style0"/>
        <w:ind w:hanging="0" w:left="720" w:right="0"/>
        <w:jc w:val="both"/>
      </w:pPr>
      <w:r>
        <w:rPr>
          <w:rFonts w:ascii="Arial" w:hAnsi="Arial"/>
          <w:sz w:val="22"/>
          <w:szCs w:val="22"/>
        </w:rPr>
        <w:t>As a result of the above measures we saw a decrease in the number of children dropping out and admitted to hospital, as well as reduced deaths as shown in table below:</w:t>
      </w:r>
    </w:p>
    <w:p>
      <w:pPr>
        <w:pStyle w:val="style0"/>
        <w:ind w:hanging="0" w:left="720" w:right="0"/>
        <w:jc w:val="both"/>
      </w:pPr>
      <w:r>
        <w:rPr>
          <w:rFonts w:ascii="Arial" w:hAnsi="Arial"/>
          <w:sz w:val="22"/>
          <w:szCs w:val="22"/>
        </w:rPr>
      </w:r>
    </w:p>
    <w:p>
      <w:pPr>
        <w:pStyle w:val="style0"/>
        <w:ind w:hanging="0" w:left="720" w:right="0"/>
        <w:jc w:val="both"/>
      </w:pPr>
      <w:r>
        <w:rPr>
          <w:rFonts w:ascii="Arial" w:hAnsi="Arial"/>
          <w:sz w:val="22"/>
          <w:szCs w:val="22"/>
        </w:rPr>
      </w:r>
    </w:p>
    <w:tbl>
      <w:tblPr>
        <w:jc w:val="left"/>
        <w:tblInd w:type="dxa" w:w="849"/>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3654"/>
        <w:gridCol w:w="1416"/>
      </w:tblGrid>
      <w:tr>
        <w:trPr>
          <w:cantSplit w:val="false"/>
        </w:trPr>
        <w:tc>
          <w:tcPr>
            <w:tcW w:type="dxa" w:w="365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r>
          </w:p>
        </w:tc>
        <w:tc>
          <w:tcPr>
            <w:tcW w:type="dxa" w:w="141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b/>
                <w:sz w:val="20"/>
                <w:szCs w:val="20"/>
              </w:rPr>
              <w:t>2013-2014</w:t>
            </w:r>
          </w:p>
        </w:tc>
      </w:tr>
      <w:tr>
        <w:trPr>
          <w:cantSplit w:val="false"/>
        </w:trPr>
        <w:tc>
          <w:tcPr>
            <w:tcW w:type="dxa" w:w="365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of new admissions</w:t>
            </w:r>
          </w:p>
        </w:tc>
        <w:tc>
          <w:tcPr>
            <w:tcW w:type="dxa" w:w="141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35</w:t>
            </w:r>
          </w:p>
        </w:tc>
      </w:tr>
      <w:tr>
        <w:trPr>
          <w:cantSplit w:val="false"/>
        </w:trPr>
        <w:tc>
          <w:tcPr>
            <w:tcW w:type="dxa" w:w="365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Drop outs and discharges</w:t>
            </w:r>
          </w:p>
        </w:tc>
        <w:tc>
          <w:tcPr>
            <w:tcW w:type="dxa" w:w="141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0</w:t>
            </w:r>
          </w:p>
        </w:tc>
      </w:tr>
      <w:tr>
        <w:trPr>
          <w:cantSplit w:val="false"/>
        </w:trPr>
        <w:tc>
          <w:tcPr>
            <w:tcW w:type="dxa" w:w="365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Deaths</w:t>
            </w:r>
          </w:p>
        </w:tc>
        <w:tc>
          <w:tcPr>
            <w:tcW w:type="dxa" w:w="141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w:t>
            </w:r>
          </w:p>
        </w:tc>
      </w:tr>
      <w:tr>
        <w:trPr>
          <w:cantSplit w:val="false"/>
        </w:trPr>
        <w:tc>
          <w:tcPr>
            <w:tcW w:type="dxa" w:w="365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referrals for treatment</w:t>
            </w:r>
          </w:p>
        </w:tc>
        <w:tc>
          <w:tcPr>
            <w:tcW w:type="dxa" w:w="141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102</w:t>
            </w:r>
          </w:p>
        </w:tc>
      </w:tr>
      <w:tr>
        <w:trPr>
          <w:cantSplit w:val="false"/>
        </w:trPr>
        <w:tc>
          <w:tcPr>
            <w:tcW w:type="dxa" w:w="365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Number admissions in hospital</w:t>
            </w:r>
          </w:p>
        </w:tc>
        <w:tc>
          <w:tcPr>
            <w:tcW w:type="dxa" w:w="141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w:t>
            </w:r>
          </w:p>
        </w:tc>
      </w:tr>
      <w:tr>
        <w:trPr>
          <w:cantSplit w:val="false"/>
        </w:trPr>
        <w:tc>
          <w:tcPr>
            <w:tcW w:type="dxa" w:w="365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pPr>
            <w:r>
              <w:rPr>
                <w:rFonts w:cs="Times New Roman" w:eastAsia="Times New Roman"/>
                <w:sz w:val="20"/>
                <w:szCs w:val="20"/>
              </w:rPr>
              <w:t>Total orphans in program</w:t>
            </w:r>
          </w:p>
        </w:tc>
        <w:tc>
          <w:tcPr>
            <w:tcW w:type="dxa" w:w="141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pPr>
            <w:r>
              <w:rPr>
                <w:rFonts w:cs="Times New Roman" w:eastAsia="Times New Roman"/>
                <w:sz w:val="20"/>
                <w:szCs w:val="20"/>
              </w:rPr>
              <w:t>138</w:t>
            </w:r>
          </w:p>
        </w:tc>
      </w:tr>
    </w:tbl>
    <w:p>
      <w:pPr>
        <w:pStyle w:val="style0"/>
        <w:ind w:hanging="0" w:left="720" w:right="0"/>
        <w:jc w:val="both"/>
      </w:pPr>
      <w:bookmarkStart w:id="45" w:name="_Toc113883278"/>
      <w:bookmarkStart w:id="46" w:name="_Toc113883278"/>
      <w:r>
        <w:rPr>
          <w:rFonts w:ascii="Arial" w:hAnsi="Arial"/>
          <w:sz w:val="22"/>
          <w:szCs w:val="22"/>
        </w:rPr>
      </w:r>
    </w:p>
    <w:p>
      <w:pPr>
        <w:pStyle w:val="style2"/>
        <w:jc w:val="both"/>
      </w:pPr>
      <w:r>
        <w:rPr>
          <w:rFonts w:ascii="Arial" w:hAnsi="Arial"/>
          <w:sz w:val="22"/>
          <w:szCs w:val="22"/>
        </w:rPr>
      </w:r>
    </w:p>
    <w:p>
      <w:pPr>
        <w:pStyle w:val="style2"/>
        <w:jc w:val="both"/>
      </w:pPr>
      <w:bookmarkStart w:id="47" w:name="_Toc113883278"/>
      <w:r>
        <w:rPr>
          <w:rFonts w:ascii="Arial" w:hAnsi="Arial"/>
          <w:sz w:val="22"/>
          <w:szCs w:val="22"/>
        </w:rPr>
        <w:t>Other activities done</w:t>
      </w:r>
      <w:bookmarkEnd w:id="47"/>
      <w:r>
        <w:rPr>
          <w:rFonts w:ascii="Arial" w:hAnsi="Arial"/>
          <w:sz w:val="22"/>
          <w:szCs w:val="22"/>
        </w:rPr>
        <w:t xml:space="preserve"> </w:t>
      </w:r>
    </w:p>
    <w:p>
      <w:pPr>
        <w:pStyle w:val="style0"/>
        <w:numPr>
          <w:ilvl w:val="0"/>
          <w:numId w:val="5"/>
        </w:numPr>
        <w:tabs>
          <w:tab w:leader="none" w:pos="2880" w:val="left"/>
        </w:tabs>
        <w:ind w:hanging="360" w:left="1440" w:right="0"/>
        <w:jc w:val="both"/>
      </w:pPr>
      <w:r>
        <w:rPr>
          <w:rFonts w:ascii="Arial" w:hAnsi="Arial"/>
          <w:sz w:val="22"/>
          <w:szCs w:val="22"/>
        </w:rPr>
        <w:t>Cooking demonstrations</w:t>
      </w:r>
    </w:p>
    <w:p>
      <w:pPr>
        <w:pStyle w:val="style0"/>
        <w:numPr>
          <w:ilvl w:val="0"/>
          <w:numId w:val="5"/>
        </w:numPr>
        <w:tabs>
          <w:tab w:leader="none" w:pos="2880" w:val="left"/>
        </w:tabs>
        <w:ind w:hanging="360" w:left="1440" w:right="0"/>
        <w:jc w:val="both"/>
      </w:pPr>
      <w:r>
        <w:rPr>
          <w:rFonts w:ascii="Arial" w:hAnsi="Arial"/>
          <w:sz w:val="22"/>
          <w:szCs w:val="22"/>
        </w:rPr>
        <w:t>Education about a home garden and provision of a starter pack were given to guardians</w:t>
      </w:r>
    </w:p>
    <w:p>
      <w:pPr>
        <w:pStyle w:val="style0"/>
        <w:numPr>
          <w:ilvl w:val="0"/>
          <w:numId w:val="5"/>
        </w:numPr>
        <w:tabs>
          <w:tab w:leader="none" w:pos="2880" w:val="left"/>
        </w:tabs>
        <w:ind w:hanging="360" w:left="1440" w:right="0"/>
        <w:jc w:val="both"/>
      </w:pPr>
      <w:r>
        <w:rPr>
          <w:rFonts w:ascii="Arial" w:hAnsi="Arial"/>
          <w:sz w:val="22"/>
          <w:szCs w:val="22"/>
        </w:rPr>
        <w:t>Supply of Lactogen to all babies aged 6 months and below</w:t>
      </w:r>
    </w:p>
    <w:p>
      <w:pPr>
        <w:pStyle w:val="style0"/>
        <w:numPr>
          <w:ilvl w:val="0"/>
          <w:numId w:val="5"/>
        </w:numPr>
        <w:tabs>
          <w:tab w:leader="none" w:pos="2880" w:val="left"/>
        </w:tabs>
        <w:ind w:hanging="360" w:left="1440" w:right="0"/>
        <w:jc w:val="both"/>
      </w:pPr>
      <w:r>
        <w:rPr>
          <w:rFonts w:ascii="Arial" w:hAnsi="Arial"/>
          <w:sz w:val="22"/>
          <w:szCs w:val="22"/>
        </w:rPr>
        <w:t>Supply of Likuni Phala to all children over 6 months</w:t>
      </w:r>
    </w:p>
    <w:p>
      <w:pPr>
        <w:pStyle w:val="style0"/>
        <w:numPr>
          <w:ilvl w:val="0"/>
          <w:numId w:val="5"/>
        </w:numPr>
        <w:tabs>
          <w:tab w:leader="none" w:pos="2880" w:val="left"/>
        </w:tabs>
        <w:ind w:hanging="360" w:left="1440" w:right="0"/>
        <w:jc w:val="both"/>
      </w:pPr>
      <w:r>
        <w:rPr>
          <w:rFonts w:ascii="Arial" w:hAnsi="Arial"/>
          <w:sz w:val="22"/>
          <w:szCs w:val="22"/>
        </w:rPr>
        <w:t>Follow up of babies</w:t>
      </w:r>
    </w:p>
    <w:p>
      <w:pPr>
        <w:pStyle w:val="style0"/>
        <w:numPr>
          <w:ilvl w:val="0"/>
          <w:numId w:val="5"/>
        </w:numPr>
        <w:tabs>
          <w:tab w:leader="none" w:pos="2880" w:val="left"/>
        </w:tabs>
        <w:ind w:hanging="360" w:left="1440" w:right="0"/>
        <w:jc w:val="both"/>
      </w:pPr>
      <w:r>
        <w:rPr>
          <w:rFonts w:ascii="Arial" w:hAnsi="Arial"/>
          <w:sz w:val="22"/>
          <w:szCs w:val="22"/>
        </w:rPr>
        <w:t>General health education</w:t>
      </w:r>
    </w:p>
    <w:p>
      <w:pPr>
        <w:pStyle w:val="style0"/>
        <w:jc w:val="both"/>
      </w:pPr>
      <w:r>
        <w:rPr>
          <w:rFonts w:ascii="Arial" w:hAnsi="Arial"/>
          <w:bCs/>
          <w:sz w:val="22"/>
          <w:szCs w:val="22"/>
        </w:rPr>
      </w:r>
    </w:p>
    <w:p>
      <w:pPr>
        <w:pStyle w:val="style0"/>
        <w:jc w:val="both"/>
      </w:pPr>
      <w:r>
        <w:rPr>
          <w:rFonts w:ascii="Arial" w:hAnsi="Arial"/>
          <w:bCs/>
          <w:sz w:val="22"/>
          <w:szCs w:val="22"/>
        </w:rPr>
      </w:r>
    </w:p>
    <w:p>
      <w:pPr>
        <w:pStyle w:val="style0"/>
        <w:jc w:val="both"/>
      </w:pPr>
      <w:r>
        <w:rPr>
          <w:rFonts w:ascii="Arial" w:hAnsi="Arial"/>
          <w:bCs/>
          <w:sz w:val="22"/>
          <w:szCs w:val="22"/>
        </w:rPr>
        <w:t>17. YOUTH PROGRAMS</w:t>
      </w:r>
    </w:p>
    <w:p>
      <w:pPr>
        <w:pStyle w:val="style0"/>
        <w:numPr>
          <w:ilvl w:val="0"/>
          <w:numId w:val="22"/>
        </w:numPr>
        <w:jc w:val="both"/>
      </w:pPr>
      <w:r>
        <w:rPr>
          <w:rFonts w:ascii="Arial" w:hAnsi="Arial"/>
          <w:sz w:val="22"/>
          <w:szCs w:val="22"/>
        </w:rPr>
        <w:t>This report highlights the activities that have been undertaken by the youth centre for the past year. The activities are all done on voluntary basis by the youth centre volunteers. In brief Mulanje Mission youth centre was established in April 2003 as a response to the call by the National youth council of Malawi and Malawi government through Project Hope to all stakeholders in the health sector to embark on the provision of youth friendly heath services. This was geared towards addressing health problems young people are facing in country as well as the catchment area.</w:t>
      </w:r>
    </w:p>
    <w:p>
      <w:pPr>
        <w:pStyle w:val="style0"/>
        <w:numPr>
          <w:ilvl w:val="0"/>
          <w:numId w:val="22"/>
        </w:numPr>
        <w:jc w:val="both"/>
      </w:pPr>
      <w:r>
        <w:rPr>
          <w:rFonts w:ascii="Arial" w:hAnsi="Arial"/>
          <w:sz w:val="22"/>
          <w:szCs w:val="22"/>
        </w:rPr>
        <w:t xml:space="preserve">Its mission is to provide the youth in the catchment area with comprehensive sexual and reproductive health services in a youth friendly environment regardless of gender, colour, religion and creed. Its </w:t>
      </w:r>
      <w:r>
        <w:rPr>
          <w:rFonts w:ascii="Arial" w:hAnsi="Arial"/>
          <w:bCs/>
          <w:sz w:val="22"/>
          <w:szCs w:val="22"/>
        </w:rPr>
        <w:t xml:space="preserve">vision </w:t>
      </w:r>
      <w:r>
        <w:rPr>
          <w:rFonts w:ascii="Arial" w:hAnsi="Arial"/>
          <w:sz w:val="22"/>
          <w:szCs w:val="22"/>
        </w:rPr>
        <w:t>is to have youth friendly health services that empower young people to identify and seek health services when needed.</w:t>
      </w:r>
    </w:p>
    <w:p>
      <w:pPr>
        <w:pStyle w:val="style0"/>
        <w:jc w:val="both"/>
      </w:pPr>
      <w:r>
        <w:rPr>
          <w:rFonts w:ascii="Arial" w:hAnsi="Arial"/>
          <w:sz w:val="22"/>
          <w:szCs w:val="22"/>
        </w:rPr>
      </w:r>
    </w:p>
    <w:p>
      <w:pPr>
        <w:pStyle w:val="style0"/>
        <w:jc w:val="both"/>
      </w:pPr>
      <w:r>
        <w:rPr>
          <w:rFonts w:ascii="Arial" w:hAnsi="Arial"/>
          <w:sz w:val="22"/>
          <w:szCs w:val="22"/>
        </w:rPr>
        <w:t>See Appendix Two for list of Registered youth clubs and membership</w:t>
      </w:r>
    </w:p>
    <w:p>
      <w:pPr>
        <w:pStyle w:val="style0"/>
        <w:jc w:val="both"/>
      </w:pPr>
      <w:r>
        <w:rPr>
          <w:rFonts w:ascii="Arial" w:hAnsi="Arial"/>
          <w:sz w:val="22"/>
          <w:szCs w:val="22"/>
        </w:rPr>
      </w:r>
    </w:p>
    <w:p>
      <w:pPr>
        <w:pStyle w:val="style37"/>
        <w:ind w:hanging="0" w:left="0" w:right="0"/>
        <w:jc w:val="both"/>
      </w:pPr>
      <w:r>
        <w:rPr>
          <w:rFonts w:ascii="Arial" w:hAnsi="Arial"/>
          <w:b/>
        </w:rPr>
        <w:t>Achievements</w:t>
      </w:r>
    </w:p>
    <w:p>
      <w:pPr>
        <w:pStyle w:val="style37"/>
        <w:ind w:hanging="0" w:left="0" w:right="0"/>
        <w:jc w:val="both"/>
      </w:pPr>
      <w:r>
        <w:rPr>
          <w:rFonts w:ascii="Arial" w:hAnsi="Arial"/>
        </w:rPr>
        <w:t xml:space="preserve">A general meeting was conducted to discuss the stand of the youth centre where by all youth club chair and secretary attended. Out this meeting general issues agreed were, </w:t>
      </w:r>
    </w:p>
    <w:p>
      <w:pPr>
        <w:pStyle w:val="style37"/>
        <w:numPr>
          <w:ilvl w:val="0"/>
          <w:numId w:val="9"/>
        </w:numPr>
        <w:jc w:val="both"/>
      </w:pPr>
      <w:r>
        <w:rPr>
          <w:rFonts w:ascii="Arial" w:hAnsi="Arial"/>
        </w:rPr>
        <w:t>Drafting of 2014 - 2015 action plan</w:t>
      </w:r>
    </w:p>
    <w:p>
      <w:pPr>
        <w:pStyle w:val="style37"/>
        <w:numPr>
          <w:ilvl w:val="0"/>
          <w:numId w:val="9"/>
        </w:numPr>
        <w:jc w:val="both"/>
      </w:pPr>
      <w:r>
        <w:rPr>
          <w:rFonts w:ascii="Arial" w:hAnsi="Arial"/>
        </w:rPr>
        <w:t xml:space="preserve">Supervision  of youth clubs  </w:t>
      </w:r>
    </w:p>
    <w:p>
      <w:pPr>
        <w:pStyle w:val="style37"/>
        <w:numPr>
          <w:ilvl w:val="0"/>
          <w:numId w:val="9"/>
        </w:numPr>
        <w:jc w:val="both"/>
      </w:pPr>
      <w:r>
        <w:rPr>
          <w:rFonts w:ascii="Arial" w:hAnsi="Arial"/>
        </w:rPr>
        <w:t>Adding more youth clubs members to the old executive committee</w:t>
      </w:r>
    </w:p>
    <w:p>
      <w:pPr>
        <w:pStyle w:val="style37"/>
        <w:numPr>
          <w:ilvl w:val="0"/>
          <w:numId w:val="9"/>
        </w:numPr>
        <w:jc w:val="both"/>
      </w:pPr>
      <w:r>
        <w:rPr>
          <w:rFonts w:ascii="Arial" w:hAnsi="Arial"/>
        </w:rPr>
        <w:t xml:space="preserve"> </w:t>
      </w:r>
      <w:r>
        <w:rPr>
          <w:rFonts w:ascii="Arial" w:hAnsi="Arial"/>
        </w:rPr>
        <w:t>Conduct manual work at the centre every month.</w:t>
      </w:r>
    </w:p>
    <w:p>
      <w:pPr>
        <w:pStyle w:val="style37"/>
        <w:numPr>
          <w:ilvl w:val="0"/>
          <w:numId w:val="9"/>
        </w:numPr>
        <w:jc w:val="both"/>
      </w:pPr>
      <w:r>
        <w:rPr>
          <w:rFonts w:ascii="Arial" w:hAnsi="Arial"/>
        </w:rPr>
        <w:t xml:space="preserve"> </w:t>
      </w:r>
      <w:r>
        <w:rPr>
          <w:rFonts w:ascii="Arial" w:hAnsi="Arial"/>
        </w:rPr>
        <w:t>Registration of youth center under the DYO.</w:t>
      </w:r>
    </w:p>
    <w:p>
      <w:pPr>
        <w:pStyle w:val="style37"/>
        <w:numPr>
          <w:ilvl w:val="0"/>
          <w:numId w:val="9"/>
        </w:numPr>
        <w:jc w:val="both"/>
      </w:pPr>
      <w:r>
        <w:rPr>
          <w:rFonts w:ascii="Arial" w:hAnsi="Arial"/>
        </w:rPr>
        <w:t>All youth clubs have registered under District youth office</w:t>
      </w:r>
    </w:p>
    <w:p>
      <w:pPr>
        <w:pStyle w:val="style37"/>
        <w:numPr>
          <w:ilvl w:val="0"/>
          <w:numId w:val="9"/>
        </w:numPr>
        <w:jc w:val="both"/>
      </w:pPr>
      <w:r>
        <w:rPr>
          <w:rFonts w:ascii="Arial" w:hAnsi="Arial"/>
        </w:rPr>
        <w:t xml:space="preserve">The condom distribution is going on well   </w:t>
      </w:r>
    </w:p>
    <w:p>
      <w:pPr>
        <w:pStyle w:val="style37"/>
        <w:jc w:val="both"/>
      </w:pPr>
      <w:r>
        <w:rPr/>
      </w:r>
    </w:p>
    <w:p>
      <w:pPr>
        <w:pStyle w:val="style37"/>
        <w:ind w:hanging="0" w:left="0" w:right="0"/>
        <w:jc w:val="both"/>
      </w:pPr>
      <w:r>
        <w:rPr/>
      </w:r>
    </w:p>
    <w:p>
      <w:pPr>
        <w:pStyle w:val="style37"/>
        <w:ind w:hanging="0" w:left="0" w:right="0"/>
        <w:jc w:val="both"/>
      </w:pPr>
      <w:r>
        <w:rPr>
          <w:rFonts w:ascii="Arial" w:hAnsi="Arial"/>
          <w:b/>
        </w:rPr>
        <w:t>Challenges</w:t>
      </w:r>
    </w:p>
    <w:p>
      <w:pPr>
        <w:pStyle w:val="style37"/>
        <w:numPr>
          <w:ilvl w:val="0"/>
          <w:numId w:val="10"/>
        </w:numPr>
        <w:jc w:val="both"/>
      </w:pPr>
      <w:r>
        <w:rPr>
          <w:rFonts w:ascii="Arial" w:hAnsi="Arial"/>
        </w:rPr>
        <w:t>Inadequate life skills training and vocational skills.</w:t>
      </w:r>
    </w:p>
    <w:p>
      <w:pPr>
        <w:pStyle w:val="style37"/>
        <w:numPr>
          <w:ilvl w:val="0"/>
          <w:numId w:val="10"/>
        </w:numPr>
        <w:jc w:val="both"/>
      </w:pPr>
      <w:r>
        <w:rPr>
          <w:rFonts w:ascii="Arial" w:hAnsi="Arial"/>
        </w:rPr>
        <w:t>Drop out of youth club members</w:t>
      </w:r>
    </w:p>
    <w:p>
      <w:pPr>
        <w:pStyle w:val="style37"/>
        <w:numPr>
          <w:ilvl w:val="0"/>
          <w:numId w:val="10"/>
        </w:numPr>
        <w:jc w:val="both"/>
      </w:pPr>
      <w:r>
        <w:rPr>
          <w:rFonts w:ascii="Arial" w:hAnsi="Arial"/>
        </w:rPr>
        <w:t xml:space="preserve">Replacement of recreation materials e.g. pool table,  </w:t>
      </w:r>
    </w:p>
    <w:p>
      <w:pPr>
        <w:pStyle w:val="style37"/>
        <w:numPr>
          <w:ilvl w:val="0"/>
          <w:numId w:val="10"/>
        </w:numPr>
        <w:jc w:val="both"/>
      </w:pPr>
      <w:r>
        <w:rPr>
          <w:rFonts w:ascii="Arial" w:hAnsi="Arial"/>
        </w:rPr>
        <w:t>Low girl participation both at youth centre and youth club level.</w:t>
      </w:r>
    </w:p>
    <w:p>
      <w:pPr>
        <w:pStyle w:val="style0"/>
        <w:jc w:val="both"/>
      </w:pPr>
      <w:r>
        <w:rPr>
          <w:rFonts w:ascii="Arial" w:hAnsi="Arial"/>
          <w:b/>
          <w:bCs/>
          <w:sz w:val="22"/>
          <w:szCs w:val="22"/>
        </w:rPr>
        <w:t>Way forward</w:t>
      </w:r>
    </w:p>
    <w:p>
      <w:pPr>
        <w:pStyle w:val="style0"/>
        <w:numPr>
          <w:ilvl w:val="0"/>
          <w:numId w:val="11"/>
        </w:numPr>
        <w:spacing w:after="200" w:before="0" w:line="276" w:lineRule="auto"/>
        <w:contextualSpacing w:val="false"/>
        <w:jc w:val="both"/>
      </w:pPr>
      <w:r>
        <w:rPr>
          <w:rFonts w:ascii="Arial" w:hAnsi="Arial"/>
          <w:sz w:val="22"/>
          <w:szCs w:val="22"/>
        </w:rPr>
        <w:t>To introduce vocational training centre and farming business skills to young people.</w:t>
      </w:r>
      <w:r>
        <w:rPr>
          <w:rFonts w:ascii="Arial" w:hAnsi="Arial"/>
          <w:b/>
          <w:bCs/>
          <w:sz w:val="22"/>
          <w:szCs w:val="22"/>
        </w:rPr>
        <w:t xml:space="preserve"> </w:t>
      </w:r>
    </w:p>
    <w:p>
      <w:pPr>
        <w:pStyle w:val="style0"/>
        <w:numPr>
          <w:ilvl w:val="0"/>
          <w:numId w:val="11"/>
        </w:numPr>
        <w:spacing w:after="200" w:before="0" w:line="276" w:lineRule="auto"/>
        <w:contextualSpacing w:val="false"/>
        <w:jc w:val="both"/>
      </w:pPr>
      <w:r>
        <w:rPr>
          <w:rFonts w:ascii="Arial" w:hAnsi="Arial"/>
          <w:sz w:val="22"/>
          <w:szCs w:val="22"/>
        </w:rPr>
        <w:t>Open up computer lessons for young people in the catchment area.</w:t>
      </w:r>
    </w:p>
    <w:p>
      <w:pPr>
        <w:pStyle w:val="style0"/>
        <w:numPr>
          <w:ilvl w:val="0"/>
          <w:numId w:val="11"/>
        </w:numPr>
        <w:spacing w:after="200" w:before="0" w:line="276" w:lineRule="auto"/>
        <w:contextualSpacing w:val="false"/>
        <w:jc w:val="both"/>
      </w:pPr>
      <w:r>
        <w:rPr>
          <w:rFonts w:ascii="Arial" w:hAnsi="Arial"/>
          <w:sz w:val="22"/>
          <w:szCs w:val="22"/>
        </w:rPr>
        <w:t>To continue offering life skills trainings to young people.</w:t>
      </w:r>
    </w:p>
    <w:p>
      <w:pPr>
        <w:pStyle w:val="style0"/>
        <w:numPr>
          <w:ilvl w:val="0"/>
          <w:numId w:val="11"/>
        </w:numPr>
        <w:spacing w:after="200" w:before="0" w:line="276" w:lineRule="auto"/>
        <w:contextualSpacing w:val="false"/>
        <w:jc w:val="both"/>
      </w:pPr>
      <w:r>
        <w:rPr>
          <w:rFonts w:ascii="Arial" w:hAnsi="Arial"/>
          <w:sz w:val="22"/>
          <w:szCs w:val="22"/>
        </w:rPr>
        <w:t>To have a well stocked vocational centre for the young people.</w:t>
      </w:r>
    </w:p>
    <w:p>
      <w:pPr>
        <w:pStyle w:val="style0"/>
        <w:spacing w:line="360" w:lineRule="auto"/>
        <w:jc w:val="both"/>
      </w:pPr>
      <w:r>
        <w:rPr/>
      </w:r>
    </w:p>
    <w:p>
      <w:pPr>
        <w:pStyle w:val="style0"/>
        <w:spacing w:line="360" w:lineRule="auto"/>
        <w:ind w:hanging="360" w:left="0" w:right="0"/>
        <w:jc w:val="both"/>
      </w:pPr>
      <w:r>
        <w:rPr>
          <w:rFonts w:ascii="Arial" w:hAnsi="Arial"/>
          <w:color w:val="000000"/>
          <w:sz w:val="22"/>
          <w:szCs w:val="22"/>
          <w:lang w:val="en-GB"/>
        </w:rPr>
        <w:t>18. PALLIATIVE CARE ACTIVITY IN 2013-14</w:t>
      </w:r>
    </w:p>
    <w:p>
      <w:pPr>
        <w:pStyle w:val="style0"/>
        <w:spacing w:line="360" w:lineRule="auto"/>
        <w:jc w:val="both"/>
      </w:pPr>
      <w:r>
        <w:rPr>
          <w:rFonts w:ascii="Arial" w:hAnsi="Arial"/>
          <w:color w:val="000000"/>
          <w:sz w:val="22"/>
          <w:szCs w:val="22"/>
          <w:lang w:val="en-GB"/>
        </w:rPr>
        <w:t>The Palliative care programme has had a busy year.  Mr Mpate has moved on to a new post, and two further members of MMH staff will be going to the Institute of Hospice and Palliative Care in Uganda for further training in this speciality.</w:t>
      </w:r>
    </w:p>
    <w:p>
      <w:pPr>
        <w:pStyle w:val="style0"/>
        <w:spacing w:line="360" w:lineRule="auto"/>
        <w:jc w:val="both"/>
      </w:pPr>
      <w:r>
        <w:rPr>
          <w:rFonts w:ascii="Arial" w:hAnsi="Arial"/>
          <w:sz w:val="22"/>
          <w:szCs w:val="22"/>
        </w:rPr>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5210"/>
        <w:gridCol w:w="1134"/>
        <w:gridCol w:w="960"/>
      </w:tblGrid>
      <w:tr>
        <w:trPr>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2013-14</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Male</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Female</w:t>
            </w:r>
          </w:p>
        </w:tc>
      </w:tr>
      <w:tr>
        <w:trPr>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Number of new patients who received palliative care</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44</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64</w:t>
            </w:r>
          </w:p>
        </w:tc>
      </w:tr>
      <w:tr>
        <w:trPr>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Number of subsequent patients who received palliative care</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 xml:space="preserve"> </w:t>
            </w:r>
            <w:r>
              <w:rPr>
                <w:rFonts w:cs="Times New Roman" w:eastAsia="Times New Roman"/>
                <w:sz w:val="20"/>
                <w:szCs w:val="20"/>
              </w:rPr>
              <w:t>85</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111</w:t>
            </w:r>
          </w:p>
        </w:tc>
      </w:tr>
      <w:tr>
        <w:trPr>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Number of patients who were reached through hospital ward visits</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171</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178</w:t>
            </w:r>
          </w:p>
        </w:tc>
      </w:tr>
      <w:tr>
        <w:trPr>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Number of patients who were reached through home visits</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37</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50</w:t>
            </w:r>
          </w:p>
        </w:tc>
      </w:tr>
      <w:tr>
        <w:trPr>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Number of bereavements visits made</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24</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21</w:t>
            </w:r>
          </w:p>
        </w:tc>
      </w:tr>
      <w:tr>
        <w:trPr>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Number of patients received psychosocial support</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8</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9</w:t>
            </w:r>
          </w:p>
        </w:tc>
      </w:tr>
      <w:tr>
        <w:trPr>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Number of death in the year</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29</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28</w:t>
            </w:r>
          </w:p>
        </w:tc>
      </w:tr>
      <w:tr>
        <w:trPr>
          <w:trHeight w:hRule="atLeast" w:val="692"/>
          <w:cantSplit w:val="false"/>
        </w:trPr>
        <w:tc>
          <w:tcPr>
            <w:tcW w:type="dxa" w:w="52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Total number of patients provided with HIV related palliative care including TB and cancer</w:t>
            </w:r>
          </w:p>
        </w:tc>
        <w:tc>
          <w:tcPr>
            <w:tcW w:type="dxa" w:w="11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72</w:t>
            </w:r>
          </w:p>
        </w:tc>
        <w:tc>
          <w:tcPr>
            <w:tcW w:type="dxa" w:w="9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right"/>
            </w:pPr>
            <w:r>
              <w:rPr>
                <w:rFonts w:cs="Times New Roman" w:eastAsia="Times New Roman"/>
                <w:sz w:val="20"/>
                <w:szCs w:val="20"/>
              </w:rPr>
              <w:t>57</w:t>
            </w:r>
          </w:p>
        </w:tc>
      </w:tr>
    </w:tbl>
    <w:p>
      <w:pPr>
        <w:pStyle w:val="style0"/>
        <w:spacing w:line="360" w:lineRule="auto"/>
        <w:jc w:val="both"/>
      </w:pPr>
      <w:r>
        <w:rPr>
          <w:rFonts w:ascii="Arial" w:hAnsi="Arial"/>
          <w:sz w:val="22"/>
          <w:szCs w:val="22"/>
        </w:rPr>
      </w:r>
    </w:p>
    <w:p>
      <w:pPr>
        <w:pStyle w:val="style0"/>
        <w:spacing w:line="360" w:lineRule="auto"/>
        <w:jc w:val="both"/>
      </w:pPr>
      <w:r>
        <w:rPr/>
        <w:drawing>
          <wp:inline distB="0" distL="0" distR="0" distT="0">
            <wp:extent cx="3475355" cy="3498850"/>
            <wp:effectExtent b="0" l="0" r="0" t="0"/>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4"/>
                    <a:srcRect/>
                    <a:stretch>
                      <a:fillRect/>
                    </a:stretch>
                  </pic:blipFill>
                  <pic:spPr bwMode="auto">
                    <a:xfrm>
                      <a:off x="0" y="0"/>
                      <a:ext cx="3475355" cy="3498850"/>
                    </a:xfrm>
                    <a:prstGeom prst="rect">
                      <a:avLst/>
                    </a:prstGeom>
                    <a:noFill/>
                    <a:ln w="9525">
                      <a:noFill/>
                      <a:miter lim="800000"/>
                      <a:headEnd/>
                      <a:tailEnd/>
                    </a:ln>
                  </pic:spPr>
                </pic:pic>
              </a:graphicData>
            </a:graphic>
          </wp:inline>
        </w:drawing>
      </w:r>
    </w:p>
    <w:p>
      <w:pPr>
        <w:pStyle w:val="style41"/>
        <w:spacing w:after="120" w:before="0"/>
        <w:contextualSpacing w:val="false"/>
      </w:pPr>
      <w:r>
        <w:rPr>
          <w:sz w:val="24"/>
          <w:szCs w:val="24"/>
        </w:rPr>
        <w:t>Palliative Care patient with Ethel Misomali, palliative care nurse at MMH</w:t>
      </w:r>
    </w:p>
    <w:p>
      <w:pPr>
        <w:pStyle w:val="style0"/>
        <w:spacing w:line="360" w:lineRule="auto"/>
        <w:jc w:val="both"/>
      </w:pPr>
      <w:r>
        <w:rPr>
          <w:rFonts w:ascii="Arial" w:hAnsi="Arial"/>
          <w:sz w:val="22"/>
          <w:szCs w:val="22"/>
        </w:rPr>
      </w:r>
    </w:p>
    <w:p>
      <w:pPr>
        <w:pStyle w:val="style0"/>
        <w:spacing w:line="360" w:lineRule="auto"/>
        <w:jc w:val="both"/>
      </w:pPr>
      <w:r>
        <w:rPr>
          <w:rFonts w:ascii="Arial" w:hAnsi="Arial"/>
          <w:sz w:val="22"/>
          <w:szCs w:val="22"/>
        </w:rPr>
        <w:t>4. Common conditions</w:t>
      </w:r>
    </w:p>
    <w:p>
      <w:pPr>
        <w:pStyle w:val="style0"/>
        <w:spacing w:line="360" w:lineRule="auto"/>
        <w:jc w:val="both"/>
      </w:pPr>
      <w:r>
        <w:rPr>
          <w:rFonts w:ascii="Arial" w:hAnsi="Arial"/>
          <w:sz w:val="22"/>
          <w:szCs w:val="22"/>
        </w:rPr>
        <w:t>In adults, conditions treated included kaposi’s sarcoma, ca cervix, ca oesophagus,  basal cell carcinoma, and lymphoma as well as patients with severe strokes.  In children, conditions included  tumours and congenital heart disease.</w:t>
      </w:r>
    </w:p>
    <w:p>
      <w:pPr>
        <w:pStyle w:val="style0"/>
        <w:spacing w:line="360" w:lineRule="auto"/>
        <w:jc w:val="both"/>
      </w:pPr>
      <w:r>
        <w:rPr>
          <w:rFonts w:ascii="Arial" w:hAnsi="Arial"/>
          <w:sz w:val="22"/>
          <w:szCs w:val="22"/>
        </w:rPr>
        <w:t>5. Drug availability</w:t>
      </w:r>
    </w:p>
    <w:p>
      <w:pPr>
        <w:pStyle w:val="style0"/>
        <w:spacing w:line="360" w:lineRule="auto"/>
        <w:jc w:val="both"/>
      </w:pPr>
      <w:r>
        <w:rPr>
          <w:rFonts w:ascii="Arial" w:hAnsi="Arial"/>
          <w:sz w:val="22"/>
          <w:szCs w:val="22"/>
        </w:rPr>
        <w:t>Level One and level Three drug supplies were available all year, but some level 2 drugs (tramadol) were not always available.</w:t>
      </w:r>
    </w:p>
    <w:p>
      <w:pPr>
        <w:pStyle w:val="style0"/>
        <w:spacing w:line="360" w:lineRule="auto"/>
        <w:jc w:val="both"/>
      </w:pPr>
      <w:r>
        <w:rPr>
          <w:rFonts w:ascii="Arial" w:hAnsi="Arial"/>
          <w:sz w:val="22"/>
          <w:szCs w:val="22"/>
        </w:rPr>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4219"/>
        <w:gridCol w:w="992"/>
        <w:gridCol w:w="1022"/>
      </w:tblGrid>
      <w:tr>
        <w:trPr>
          <w:trHeight w:hRule="atLeast" w:val="254"/>
          <w:cantSplit w:val="false"/>
        </w:trPr>
        <w:tc>
          <w:tcPr>
            <w:tcW w:type="dxa" w:w="4219"/>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r>
          </w:p>
          <w:p>
            <w:pPr>
              <w:pStyle w:val="style0"/>
              <w:spacing w:line="360" w:lineRule="auto"/>
              <w:jc w:val="both"/>
            </w:pPr>
            <w:r>
              <w:rPr>
                <w:rFonts w:cs="Times New Roman" w:eastAsia="Times New Roman"/>
                <w:sz w:val="20"/>
                <w:szCs w:val="20"/>
              </w:rPr>
              <w:t>Total number of patients who received pain relief in last quarter</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male</w:t>
            </w:r>
          </w:p>
        </w:tc>
        <w:tc>
          <w:tcPr>
            <w:tcW w:type="dxa" w:w="102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female</w:t>
            </w:r>
          </w:p>
        </w:tc>
      </w:tr>
      <w:tr>
        <w:trPr>
          <w:trHeight w:hRule="atLeast" w:val="668"/>
          <w:cantSplit w:val="false"/>
        </w:trPr>
        <w:tc>
          <w:tcPr>
            <w:tcW w:type="dxa" w:w="4219"/>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137</w:t>
            </w:r>
          </w:p>
        </w:tc>
        <w:tc>
          <w:tcPr>
            <w:tcW w:type="dxa" w:w="102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139</w:t>
            </w:r>
          </w:p>
        </w:tc>
      </w:tr>
      <w:tr>
        <w:trPr>
          <w:cantSplit w:val="false"/>
        </w:trPr>
        <w:tc>
          <w:tcPr>
            <w:tcW w:type="dxa" w:w="421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Total number of patients who received oral morphine in last quarter</w:t>
            </w:r>
          </w:p>
        </w:tc>
        <w:tc>
          <w:tcPr>
            <w:tcW w:type="dxa" w:w="99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22</w:t>
            </w:r>
          </w:p>
        </w:tc>
        <w:tc>
          <w:tcPr>
            <w:tcW w:type="dxa" w:w="102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line="360" w:lineRule="auto"/>
              <w:jc w:val="both"/>
            </w:pPr>
            <w:r>
              <w:rPr>
                <w:rFonts w:cs="Times New Roman" w:eastAsia="Times New Roman"/>
                <w:sz w:val="20"/>
                <w:szCs w:val="20"/>
              </w:rPr>
              <w:t>38</w:t>
            </w:r>
          </w:p>
        </w:tc>
      </w:tr>
    </w:tbl>
    <w:p>
      <w:pPr>
        <w:pStyle w:val="style0"/>
        <w:spacing w:line="360" w:lineRule="auto"/>
        <w:jc w:val="both"/>
      </w:pPr>
      <w:r>
        <w:rPr>
          <w:rFonts w:ascii="Arial" w:hAnsi="Arial"/>
          <w:sz w:val="22"/>
          <w:szCs w:val="22"/>
        </w:rPr>
      </w:r>
    </w:p>
    <w:p>
      <w:pPr>
        <w:pStyle w:val="style0"/>
        <w:spacing w:after="200" w:before="0" w:line="276" w:lineRule="auto"/>
        <w:contextualSpacing w:val="false"/>
        <w:jc w:val="both"/>
      </w:pPr>
      <w:r>
        <w:rPr>
          <w:rFonts w:ascii="Arial" w:hAnsi="Arial"/>
          <w:b/>
          <w:sz w:val="22"/>
          <w:szCs w:val="22"/>
        </w:rPr>
        <w:t>Conclusion</w:t>
      </w:r>
    </w:p>
    <w:p>
      <w:pPr>
        <w:pStyle w:val="style0"/>
        <w:spacing w:after="200" w:before="0" w:line="276" w:lineRule="auto"/>
        <w:contextualSpacing w:val="false"/>
        <w:jc w:val="both"/>
      </w:pPr>
      <w:r>
        <w:rPr>
          <w:rFonts w:ascii="Arial" w:hAnsi="Arial"/>
          <w:sz w:val="22"/>
          <w:szCs w:val="22"/>
        </w:rPr>
        <w:t xml:space="preserve">The PHC team is busy doing a lot of things both at the hospital and in the community, which is helpful  for individual and community development. We are thankful to all our donors for making this possible.                                                                                                                                                                                                                          </w:t>
      </w:r>
    </w:p>
    <w:p>
      <w:pPr>
        <w:pStyle w:val="style0"/>
        <w:jc w:val="both"/>
      </w:pPr>
      <w:r>
        <w:rPr>
          <w:rFonts w:ascii="Arial" w:hAnsi="Arial"/>
          <w:bCs/>
          <w:sz w:val="22"/>
          <w:szCs w:val="22"/>
        </w:rPr>
        <w:t>PHC Dept</w:t>
      </w:r>
    </w:p>
    <w:p>
      <w:pPr>
        <w:pStyle w:val="style0"/>
        <w:jc w:val="both"/>
      </w:pPr>
      <w:r>
        <w:rPr>
          <w:rFonts w:ascii="Arial" w:hAnsi="Arial"/>
          <w:bCs/>
          <w:sz w:val="22"/>
          <w:szCs w:val="22"/>
        </w:rPr>
        <w:t>July 2014</w:t>
      </w:r>
    </w:p>
    <w:sectPr>
      <w:type w:val="continuous"/>
      <w:pgSz w:h="16820" w:w="11906"/>
      <w:pgMar w:bottom="1440" w:footer="0" w:gutter="0" w:header="0" w:left="1134" w:right="1134" w:top="1440"/>
      <w:pgNumType w:fmt="decimal"/>
      <w:formProt w:val="false"/>
      <w:textDirection w:val="lrTb"/>
      <w:docGrid w:charSpace="8192"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mbria">
    <w:charset w:val="80"/>
    <w:family w:val="swiss"/>
    <w:pitch w:val="default"/>
  </w:font>
  <w:font w:name="Times New Roman">
    <w:charset w:val="80"/>
    <w:family w:val="swiss"/>
    <w:pitch w:val="default"/>
  </w:font>
  <w:font w:name="Calibri">
    <w:charset w:val="80"/>
    <w:family w:val="swiss"/>
    <w:pitch w:val="default"/>
  </w:font>
  <w:font w:name="Tahoma">
    <w:charset w:val="80"/>
    <w:family w:val="swiss"/>
    <w:pitch w:val="default"/>
  </w:font>
  <w:font w:name="OpenSymbol">
    <w:altName w:val="Arial Unicode MS"/>
    <w:charset w:val="80"/>
    <w:family w:val="auto"/>
    <w:pitch w:val="default"/>
  </w:font>
  <w:font w:name="Arial">
    <w:charset w:val="80"/>
    <w:family w:val="swiss"/>
    <w:pitch w:val="variable"/>
  </w:font>
  <w:font w:name="Arial">
    <w:charset w:val="80"/>
    <w:family w:val="swiss"/>
    <w:pitch w:val="default"/>
  </w:font>
  <w:font w:name="Wingdings">
    <w:charset w:val="02"/>
    <w:family w:val="auto"/>
    <w:pitch w:val="variable"/>
  </w:font>
  <w:font w:name="Symbol">
    <w:charset w:val="02"/>
    <w:family w:val="auto"/>
    <w:pitch w:val="variable"/>
  </w:font>
  <w:font w:name="Courier New">
    <w:charset w:val="80"/>
    <w:family w:val="modern"/>
    <w:pitch w:val="fixed"/>
  </w:font>
  <w:font w:name="Symbol">
    <w:charset w:val="02"/>
    <w:family w:val="auto"/>
    <w:pitch w:val="default"/>
  </w:font>
</w:fonts>
</file>

<file path=word/numbering.xml><?xml version="1.0" encoding="utf-8"?>
<w:numbering xmlns:w="http://schemas.openxmlformats.org/wordprocessingml/2006/main">
  <w:abstractNum w:abstractNumId="1">
    <w:lvl w:ilvl="0">
      <w:start w:val="1"/>
      <w:numFmt w:val="bullet"/>
      <w:lvlText w:val=""/>
      <w:lvlJc w:val="left"/>
      <w:pPr>
        <w:ind w:hanging="360" w:left="720"/>
      </w:pPr>
      <w:rPr>
        <w:rFonts w:ascii="Wingdings" w:cs="Wingdings" w:hAnsi="Wingdings" w:hint="default"/>
      </w:rPr>
    </w:lvl>
    <w:lvl w:ilvl="1">
      <w:start w:val="1"/>
      <w:numFmt w:val="decimal"/>
      <w:lvlText w:val="%2"/>
      <w:lvlJc w:val="left"/>
      <w:pPr>
        <w:ind w:hanging="360" w:left="1440"/>
      </w:pPr>
    </w:lvl>
    <w:lvl w:ilvl="2">
      <w:start w:val="1"/>
      <w:numFmt w:val="decimal"/>
      <w:lvlText w:val="%3"/>
      <w:lvlJc w:val="left"/>
      <w:pPr>
        <w:ind w:hanging="360" w:left="2160"/>
      </w:pPr>
    </w:lvl>
    <w:lvl w:ilvl="3">
      <w:start w:val="1"/>
      <w:numFmt w:val="decimal"/>
      <w:lvlText w:val="%4"/>
      <w:lvlJc w:val="left"/>
      <w:pPr>
        <w:ind w:hanging="360" w:left="2880"/>
      </w:pPr>
    </w:lvl>
    <w:lvl w:ilvl="4">
      <w:start w:val="1"/>
      <w:numFmt w:val="decimal"/>
      <w:lvlText w:val="%5"/>
      <w:lvlJc w:val="left"/>
      <w:pPr>
        <w:ind w:hanging="360" w:left="3600"/>
      </w:pPr>
    </w:lvl>
    <w:lvl w:ilvl="5">
      <w:start w:val="1"/>
      <w:numFmt w:val="decimal"/>
      <w:lvlText w:val="%6"/>
      <w:lvlJc w:val="left"/>
      <w:pPr>
        <w:ind w:hanging="360" w:left="4320"/>
      </w:pPr>
    </w:lvl>
    <w:lvl w:ilvl="6">
      <w:start w:val="1"/>
      <w:numFmt w:val="decimal"/>
      <w:lvlText w:val="%7"/>
      <w:lvlJc w:val="left"/>
      <w:pPr>
        <w:ind w:hanging="360" w:left="5040"/>
      </w:pPr>
    </w:lvl>
    <w:lvl w:ilvl="7">
      <w:start w:val="1"/>
      <w:numFmt w:val="decimal"/>
      <w:lvlText w:val="%8"/>
      <w:lvlJc w:val="left"/>
      <w:pPr>
        <w:ind w:hanging="360" w:left="5760"/>
      </w:pPr>
    </w:lvl>
    <w:lvl w:ilvl="8">
      <w:start w:val="1"/>
      <w:numFmt w:val="decimal"/>
      <w:lvlText w:val="%9"/>
      <w:lvlJc w:val="left"/>
      <w:pPr>
        <w:ind w:hanging="360" w:left="6480"/>
      </w:pPr>
    </w:lvl>
  </w:abstractNum>
  <w:abstractNum w:abstractNumId="2">
    <w:lvl w:ilvl="0">
      <w:start w:val="1"/>
      <w:numFmt w:val="bullet"/>
      <w:lvlText w:val=""/>
      <w:lvlJc w:val="left"/>
      <w:pPr>
        <w:ind w:hanging="360" w:left="780"/>
      </w:pPr>
      <w:rPr>
        <w:rFonts w:ascii="Wingdings" w:cs="Wingdings" w:hAnsi="Wingdings" w:hint="default"/>
      </w:rPr>
    </w:lvl>
    <w:lvl w:ilvl="1">
      <w:start w:val="1"/>
      <w:numFmt w:val="decimal"/>
      <w:lvlText w:val="%2"/>
      <w:lvlJc w:val="left"/>
      <w:pPr>
        <w:ind w:hanging="360" w:left="1440"/>
      </w:pPr>
    </w:lvl>
    <w:lvl w:ilvl="2">
      <w:start w:val="1"/>
      <w:numFmt w:val="decimal"/>
      <w:lvlText w:val="%3"/>
      <w:lvlJc w:val="left"/>
      <w:pPr>
        <w:ind w:hanging="360" w:left="2160"/>
      </w:pPr>
    </w:lvl>
    <w:lvl w:ilvl="3">
      <w:start w:val="1"/>
      <w:numFmt w:val="decimal"/>
      <w:lvlText w:val="%4"/>
      <w:lvlJc w:val="left"/>
      <w:pPr>
        <w:ind w:hanging="360" w:left="2880"/>
      </w:pPr>
    </w:lvl>
    <w:lvl w:ilvl="4">
      <w:start w:val="1"/>
      <w:numFmt w:val="decimal"/>
      <w:lvlText w:val="%5"/>
      <w:lvlJc w:val="left"/>
      <w:pPr>
        <w:ind w:hanging="360" w:left="3600"/>
      </w:pPr>
    </w:lvl>
    <w:lvl w:ilvl="5">
      <w:start w:val="1"/>
      <w:numFmt w:val="decimal"/>
      <w:lvlText w:val="%6"/>
      <w:lvlJc w:val="left"/>
      <w:pPr>
        <w:ind w:hanging="360" w:left="4320"/>
      </w:pPr>
    </w:lvl>
    <w:lvl w:ilvl="6">
      <w:start w:val="1"/>
      <w:numFmt w:val="decimal"/>
      <w:lvlText w:val="%7"/>
      <w:lvlJc w:val="left"/>
      <w:pPr>
        <w:ind w:hanging="360" w:left="5040"/>
      </w:pPr>
    </w:lvl>
    <w:lvl w:ilvl="7">
      <w:start w:val="1"/>
      <w:numFmt w:val="decimal"/>
      <w:lvlText w:val="%8"/>
      <w:lvlJc w:val="left"/>
      <w:pPr>
        <w:ind w:hanging="360" w:left="5760"/>
      </w:pPr>
    </w:lvl>
    <w:lvl w:ilvl="8">
      <w:start w:val="1"/>
      <w:numFmt w:val="decimal"/>
      <w:lvlText w:val="%9"/>
      <w:lvlJc w:val="left"/>
      <w:pPr>
        <w:ind w:hanging="360" w:left="6480"/>
      </w:pPr>
    </w:lvl>
  </w:abstractNum>
  <w:abstractNum w:abstractNumId="3">
    <w:lvl w:ilvl="0">
      <w:start w:val="18"/>
      <w:numFmt w:val="bullet"/>
      <w:lvlText w:val=""/>
      <w:lvlJc w:val="left"/>
      <w:pPr>
        <w:ind w:hanging="375" w:left="1635"/>
      </w:pPr>
      <w:rPr>
        <w:rFonts w:ascii="Wingdings" w:cs="Wingdings" w:hAnsi="Wingdings" w:hint="default"/>
      </w:rPr>
    </w:lvl>
    <w:lvl w:ilvl="1">
      <w:start w:val="1"/>
      <w:numFmt w:val="decimal"/>
      <w:lvlText w:val="%2"/>
      <w:lvlJc w:val="left"/>
      <w:pPr>
        <w:ind w:hanging="360" w:left="1440"/>
      </w:pPr>
    </w:lvl>
    <w:lvl w:ilvl="2">
      <w:start w:val="1"/>
      <w:numFmt w:val="decimal"/>
      <w:lvlText w:val="%3"/>
      <w:lvlJc w:val="left"/>
      <w:pPr>
        <w:ind w:hanging="360" w:left="2160"/>
      </w:pPr>
    </w:lvl>
    <w:lvl w:ilvl="3">
      <w:start w:val="1"/>
      <w:numFmt w:val="decimal"/>
      <w:lvlText w:val="%4"/>
      <w:lvlJc w:val="left"/>
      <w:pPr>
        <w:ind w:hanging="360" w:left="2880"/>
      </w:pPr>
    </w:lvl>
    <w:lvl w:ilvl="4">
      <w:start w:val="1"/>
      <w:numFmt w:val="decimal"/>
      <w:lvlText w:val="%5"/>
      <w:lvlJc w:val="left"/>
      <w:pPr>
        <w:ind w:hanging="360" w:left="3600"/>
      </w:pPr>
    </w:lvl>
    <w:lvl w:ilvl="5">
      <w:start w:val="1"/>
      <w:numFmt w:val="decimal"/>
      <w:lvlText w:val="%6"/>
      <w:lvlJc w:val="left"/>
      <w:pPr>
        <w:ind w:hanging="360" w:left="4320"/>
      </w:pPr>
    </w:lvl>
    <w:lvl w:ilvl="6">
      <w:start w:val="1"/>
      <w:numFmt w:val="decimal"/>
      <w:lvlText w:val="%7"/>
      <w:lvlJc w:val="left"/>
      <w:pPr>
        <w:ind w:hanging="360" w:left="5040"/>
      </w:pPr>
    </w:lvl>
    <w:lvl w:ilvl="7">
      <w:start w:val="1"/>
      <w:numFmt w:val="decimal"/>
      <w:lvlText w:val="%8"/>
      <w:lvlJc w:val="left"/>
      <w:pPr>
        <w:ind w:hanging="360" w:left="5760"/>
      </w:pPr>
    </w:lvl>
    <w:lvl w:ilvl="8">
      <w:start w:val="1"/>
      <w:numFmt w:val="decimal"/>
      <w:lvlText w:val="%9"/>
      <w:lvlJc w:val="left"/>
      <w:pPr>
        <w:ind w:hanging="360" w:left="6480"/>
      </w:pPr>
    </w:lvl>
  </w:abstractNum>
  <w:abstractNum w:abstractNumId="4">
    <w:lvl w:ilvl="0">
      <w:start w:val="1"/>
      <w:numFmt w:val="bullet"/>
      <w:lvlText w:val=""/>
      <w:lvlJc w:val="left"/>
      <w:pPr>
        <w:ind w:hanging="360" w:left="1778"/>
      </w:pPr>
      <w:rPr>
        <w:rFonts w:ascii="Wingdings" w:cs="Wingdings" w:hAnsi="Wingdings" w:hint="default"/>
      </w:rPr>
    </w:lvl>
    <w:lvl w:ilvl="1">
      <w:start w:val="1"/>
      <w:numFmt w:val="decimal"/>
      <w:lvlText w:val="%2"/>
      <w:lvlJc w:val="left"/>
      <w:pPr>
        <w:ind w:hanging="360" w:left="1440"/>
      </w:pPr>
    </w:lvl>
    <w:lvl w:ilvl="2">
      <w:start w:val="1"/>
      <w:numFmt w:val="decimal"/>
      <w:lvlText w:val="%3"/>
      <w:lvlJc w:val="left"/>
      <w:pPr>
        <w:ind w:hanging="360" w:left="2160"/>
      </w:pPr>
    </w:lvl>
    <w:lvl w:ilvl="3">
      <w:start w:val="1"/>
      <w:numFmt w:val="decimal"/>
      <w:lvlText w:val="%4"/>
      <w:lvlJc w:val="left"/>
      <w:pPr>
        <w:ind w:hanging="360" w:left="2880"/>
      </w:pPr>
    </w:lvl>
    <w:lvl w:ilvl="4">
      <w:start w:val="1"/>
      <w:numFmt w:val="decimal"/>
      <w:lvlText w:val="%5"/>
      <w:lvlJc w:val="left"/>
      <w:pPr>
        <w:ind w:hanging="360" w:left="3600"/>
      </w:pPr>
    </w:lvl>
    <w:lvl w:ilvl="5">
      <w:start w:val="1"/>
      <w:numFmt w:val="decimal"/>
      <w:lvlText w:val="%6"/>
      <w:lvlJc w:val="left"/>
      <w:pPr>
        <w:ind w:hanging="360" w:left="4320"/>
      </w:pPr>
    </w:lvl>
    <w:lvl w:ilvl="6">
      <w:start w:val="1"/>
      <w:numFmt w:val="decimal"/>
      <w:lvlText w:val="%7"/>
      <w:lvlJc w:val="left"/>
      <w:pPr>
        <w:ind w:hanging="360" w:left="5040"/>
      </w:pPr>
    </w:lvl>
    <w:lvl w:ilvl="7">
      <w:start w:val="1"/>
      <w:numFmt w:val="decimal"/>
      <w:lvlText w:val="%8"/>
      <w:lvlJc w:val="left"/>
      <w:pPr>
        <w:ind w:hanging="360" w:left="5760"/>
      </w:pPr>
    </w:lvl>
    <w:lvl w:ilvl="8">
      <w:start w:val="1"/>
      <w:numFmt w:val="decimal"/>
      <w:lvlText w:val="%9"/>
      <w:lvlJc w:val="left"/>
      <w:pPr>
        <w:ind w:hanging="360" w:left="6480"/>
      </w:pPr>
    </w:lvl>
  </w:abstractNum>
  <w:abstractNum w:abstractNumId="5">
    <w:lvl w:ilvl="0">
      <w:start w:val="1"/>
      <w:numFmt w:val="bullet"/>
      <w:lvlText w:val=""/>
      <w:lvlJc w:val="left"/>
      <w:pPr>
        <w:ind w:hanging="360" w:left="720"/>
      </w:pPr>
      <w:rPr>
        <w:rFonts w:ascii="Wingdings" w:cs="Wingdings" w:hAnsi="Wingdings" w:hint="default"/>
      </w:rPr>
    </w:lvl>
    <w:lvl w:ilvl="1">
      <w:start w:val="1"/>
      <w:numFmt w:val="decimal"/>
      <w:lvlText w:val="%2"/>
      <w:lvlJc w:val="left"/>
      <w:pPr>
        <w:ind w:hanging="360" w:left="1440"/>
      </w:pPr>
    </w:lvl>
    <w:lvl w:ilvl="2">
      <w:start w:val="1"/>
      <w:numFmt w:val="decimal"/>
      <w:lvlText w:val="%3"/>
      <w:lvlJc w:val="left"/>
      <w:pPr>
        <w:ind w:hanging="360" w:left="2160"/>
      </w:pPr>
    </w:lvl>
    <w:lvl w:ilvl="3">
      <w:start w:val="1"/>
      <w:numFmt w:val="decimal"/>
      <w:lvlText w:val="%4"/>
      <w:lvlJc w:val="left"/>
      <w:pPr>
        <w:ind w:hanging="360" w:left="2880"/>
      </w:pPr>
    </w:lvl>
    <w:lvl w:ilvl="4">
      <w:start w:val="1"/>
      <w:numFmt w:val="decimal"/>
      <w:lvlText w:val="%5"/>
      <w:lvlJc w:val="left"/>
      <w:pPr>
        <w:ind w:hanging="360" w:left="3600"/>
      </w:pPr>
    </w:lvl>
    <w:lvl w:ilvl="5">
      <w:start w:val="1"/>
      <w:numFmt w:val="decimal"/>
      <w:lvlText w:val="%6"/>
      <w:lvlJc w:val="left"/>
      <w:pPr>
        <w:ind w:hanging="360" w:left="4320"/>
      </w:pPr>
    </w:lvl>
    <w:lvl w:ilvl="6">
      <w:start w:val="1"/>
      <w:numFmt w:val="decimal"/>
      <w:lvlText w:val="%7"/>
      <w:lvlJc w:val="left"/>
      <w:pPr>
        <w:ind w:hanging="360" w:left="5040"/>
      </w:pPr>
    </w:lvl>
    <w:lvl w:ilvl="7">
      <w:start w:val="1"/>
      <w:numFmt w:val="decimal"/>
      <w:lvlText w:val="%8"/>
      <w:lvlJc w:val="left"/>
      <w:pPr>
        <w:ind w:hanging="360" w:left="5760"/>
      </w:pPr>
    </w:lvl>
    <w:lvl w:ilvl="8">
      <w:start w:val="1"/>
      <w:numFmt w:val="decimal"/>
      <w:lvlText w:val="%9"/>
      <w:lvlJc w:val="left"/>
      <w:pPr>
        <w:ind w:hanging="360" w:left="6480"/>
      </w:pPr>
    </w:lvl>
  </w:abstractNum>
  <w:abstractNum w:abstractNumId="6">
    <w:lvl w:ilvl="0">
      <w:start w:val="1"/>
      <w:numFmt w:val="lowerLetter"/>
      <w:lvlText w:val="%1."/>
      <w:lvlJc w:val="left"/>
      <w:pPr>
        <w:ind w:hanging="360" w:left="1080"/>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7">
    <w:lvl w:ilvl="0">
      <w:start w:val="1"/>
      <w:numFmt w:val="lowerLetter"/>
      <w:lvlText w:val="%1."/>
      <w:lvlJc w:val="left"/>
      <w:pPr>
        <w:ind w:hanging="360" w:left="1080"/>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8">
    <w:lvl w:ilvl="0">
      <w:start w:val="1"/>
      <w:numFmt w:val="lowerLetter"/>
      <w:lvlText w:val="%1."/>
      <w:lvlJc w:val="left"/>
      <w:pPr>
        <w:ind w:hanging="360" w:left="720"/>
      </w:pPr>
      <w:rPr>
        <w:u w:val="none"/>
        <w:b w:val="false"/>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9">
    <w:lvl w:ilvl="0">
      <w:start w:val="1"/>
      <w:numFmt w:val="lowerLetter"/>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0">
    <w:lvl w:ilvl="0">
      <w:start w:val="1"/>
      <w:numFmt w:val="lowerLetter"/>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2">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3">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4">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5">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6">
    <w:lvl w:ilvl="0">
      <w:start w:val="1"/>
      <w:numFmt w:val="decimal"/>
      <w:lvlText w:val="%1."/>
      <w:lvlJc w:val="left"/>
      <w:pPr>
        <w:ind w:hanging="360" w:left="360"/>
      </w:pPr>
    </w:lvl>
    <w:lvl w:ilvl="1">
      <w:start w:val="1"/>
      <w:numFmt w:val="lowerLetter"/>
      <w:lvlText w:val="%2."/>
      <w:lvlJc w:val="left"/>
      <w:pPr>
        <w:ind w:hanging="360" w:left="1080"/>
      </w:pPr>
    </w:lvl>
    <w:lvl w:ilvl="2">
      <w:start w:val="1"/>
      <w:numFmt w:val="lowerRoman"/>
      <w:lvlText w:val="%3."/>
      <w:lvlJc w:val="right"/>
      <w:pPr>
        <w:ind w:hanging="180" w:left="1800"/>
      </w:pPr>
    </w:lvl>
    <w:lvl w:ilvl="3">
      <w:start w:val="1"/>
      <w:numFmt w:val="decimal"/>
      <w:lvlText w:val="%4."/>
      <w:lvlJc w:val="left"/>
      <w:pPr>
        <w:ind w:hanging="360" w:left="2520"/>
      </w:pPr>
    </w:lvl>
    <w:lvl w:ilvl="4">
      <w:start w:val="1"/>
      <w:numFmt w:val="lowerLetter"/>
      <w:lvlText w:val="%5."/>
      <w:lvlJc w:val="left"/>
      <w:pPr>
        <w:ind w:hanging="360" w:left="3240"/>
      </w:pPr>
    </w:lvl>
    <w:lvl w:ilvl="5">
      <w:start w:val="1"/>
      <w:numFmt w:val="lowerRoman"/>
      <w:lvlText w:val="%6."/>
      <w:lvlJc w:val="right"/>
      <w:pPr>
        <w:ind w:hanging="180" w:left="3960"/>
      </w:pPr>
    </w:lvl>
    <w:lvl w:ilvl="6">
      <w:start w:val="1"/>
      <w:numFmt w:val="decimal"/>
      <w:lvlText w:val="%7."/>
      <w:lvlJc w:val="left"/>
      <w:pPr>
        <w:ind w:hanging="360" w:left="4680"/>
      </w:pPr>
    </w:lvl>
    <w:lvl w:ilvl="7">
      <w:start w:val="1"/>
      <w:numFmt w:val="lowerLetter"/>
      <w:lvlText w:val="%8."/>
      <w:lvlJc w:val="left"/>
      <w:pPr>
        <w:ind w:hanging="360" w:left="5400"/>
      </w:pPr>
    </w:lvl>
    <w:lvl w:ilvl="8">
      <w:start w:val="1"/>
      <w:numFmt w:val="lowerRoman"/>
      <w:lvlText w:val="%9."/>
      <w:lvlJc w:val="right"/>
      <w:pPr>
        <w:ind w:hanging="180" w:left="6120"/>
      </w:pPr>
    </w:lvl>
  </w:abstractNum>
  <w:abstractNum w:abstractNumId="17">
    <w:lvl w:ilvl="0">
      <w:start w:val="1"/>
      <w:numFmt w:val="decimal"/>
      <w:lvlText w:val="%1."/>
      <w:lvlJc w:val="left"/>
      <w:pPr>
        <w:ind w:hanging="360" w:left="360"/>
      </w:pPr>
    </w:lvl>
    <w:lvl w:ilvl="1">
      <w:start w:val="1"/>
      <w:numFmt w:val="lowerLetter"/>
      <w:lvlText w:val="%2."/>
      <w:lvlJc w:val="left"/>
      <w:pPr>
        <w:ind w:hanging="360" w:left="1080"/>
      </w:pPr>
    </w:lvl>
    <w:lvl w:ilvl="2">
      <w:start w:val="1"/>
      <w:numFmt w:val="lowerRoman"/>
      <w:lvlText w:val="%3."/>
      <w:lvlJc w:val="right"/>
      <w:pPr>
        <w:ind w:hanging="180" w:left="1800"/>
      </w:pPr>
    </w:lvl>
    <w:lvl w:ilvl="3">
      <w:start w:val="1"/>
      <w:numFmt w:val="decimal"/>
      <w:lvlText w:val="%4."/>
      <w:lvlJc w:val="left"/>
      <w:pPr>
        <w:ind w:hanging="360" w:left="2520"/>
      </w:pPr>
    </w:lvl>
    <w:lvl w:ilvl="4">
      <w:start w:val="1"/>
      <w:numFmt w:val="lowerLetter"/>
      <w:lvlText w:val="%5."/>
      <w:lvlJc w:val="left"/>
      <w:pPr>
        <w:ind w:hanging="360" w:left="3240"/>
      </w:pPr>
    </w:lvl>
    <w:lvl w:ilvl="5">
      <w:start w:val="1"/>
      <w:numFmt w:val="lowerRoman"/>
      <w:lvlText w:val="%6."/>
      <w:lvlJc w:val="right"/>
      <w:pPr>
        <w:ind w:hanging="180" w:left="3960"/>
      </w:pPr>
    </w:lvl>
    <w:lvl w:ilvl="6">
      <w:start w:val="1"/>
      <w:numFmt w:val="decimal"/>
      <w:lvlText w:val="%7."/>
      <w:lvlJc w:val="left"/>
      <w:pPr>
        <w:ind w:hanging="360" w:left="4680"/>
      </w:pPr>
    </w:lvl>
    <w:lvl w:ilvl="7">
      <w:start w:val="1"/>
      <w:numFmt w:val="lowerLetter"/>
      <w:lvlText w:val="%8."/>
      <w:lvlJc w:val="left"/>
      <w:pPr>
        <w:ind w:hanging="360" w:left="5400"/>
      </w:pPr>
    </w:lvl>
    <w:lvl w:ilvl="8">
      <w:start w:val="1"/>
      <w:numFmt w:val="lowerRoman"/>
      <w:lvlText w:val="%9."/>
      <w:lvlJc w:val="right"/>
      <w:pPr>
        <w:ind w:hanging="180" w:left="6120"/>
      </w:pPr>
    </w:lvl>
  </w:abstractNum>
  <w:abstractNum w:abstractNumId="18">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9">
    <w:lvl w:ilvl="0">
      <w:start w:val="1"/>
      <w:numFmt w:val="decimal"/>
      <w:lvlText w:val="%1."/>
      <w:lvlJc w:val="left"/>
      <w:pPr>
        <w:ind w:hanging="360" w:left="1080"/>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20">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2">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3">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4">
    <w:lvl w:ilvl="0">
      <w:start w:val="1"/>
      <w:numFmt w:val="bullet"/>
      <w:lvlText w:val=""/>
      <w:lvlJc w:val="left"/>
      <w:pPr>
        <w:tabs>
          <w:tab w:pos="720" w:val="num"/>
        </w:tabs>
        <w:ind w:hanging="360" w:left="720"/>
      </w:pPr>
      <w:rPr>
        <w:rFonts w:ascii="Symbol" w:cs="Symbol" w:hAnsi="Symbol" w:hint="default"/>
      </w:rPr>
    </w:lvl>
    <w:lvl w:ilvl="1">
      <w:start w:val="1"/>
      <w:numFmt w:val="bullet"/>
      <w:lvlText w:val="◦"/>
      <w:lvlJc w:val="left"/>
      <w:pPr>
        <w:tabs>
          <w:tab w:pos="1080" w:val="num"/>
        </w:tabs>
        <w:ind w:hanging="360" w:left="1080"/>
      </w:pPr>
      <w:rPr>
        <w:rFonts w:ascii="OpenSymbol" w:cs="OpenSymbol" w:hAnsi="OpenSymbol" w:hint="default"/>
      </w:rPr>
    </w:lvl>
    <w:lvl w:ilvl="2">
      <w:start w:val="1"/>
      <w:numFmt w:val="bullet"/>
      <w:lvlText w:val="▪"/>
      <w:lvlJc w:val="left"/>
      <w:pPr>
        <w:tabs>
          <w:tab w:pos="1440" w:val="num"/>
        </w:tabs>
        <w:ind w:hanging="360" w:left="1440"/>
      </w:pPr>
      <w:rPr>
        <w:rFonts w:ascii="OpenSymbol" w:cs="OpenSymbol" w:hAnsi="OpenSymbol" w:hint="default"/>
      </w:rPr>
    </w:lvl>
    <w:lvl w:ilvl="3">
      <w:start w:val="1"/>
      <w:numFmt w:val="bullet"/>
      <w:lvlText w:val=""/>
      <w:lvlJc w:val="left"/>
      <w:pPr>
        <w:tabs>
          <w:tab w:pos="1800" w:val="num"/>
        </w:tabs>
        <w:ind w:hanging="360" w:left="1800"/>
      </w:pPr>
      <w:rPr>
        <w:rFonts w:ascii="Symbol" w:cs="Symbol" w:hAnsi="Symbol" w:hint="default"/>
      </w:rPr>
    </w:lvl>
    <w:lvl w:ilvl="4">
      <w:start w:val="1"/>
      <w:numFmt w:val="bullet"/>
      <w:lvlText w:val="◦"/>
      <w:lvlJc w:val="left"/>
      <w:pPr>
        <w:tabs>
          <w:tab w:pos="2160" w:val="num"/>
        </w:tabs>
        <w:ind w:hanging="360" w:left="2160"/>
      </w:pPr>
      <w:rPr>
        <w:rFonts w:ascii="OpenSymbol" w:cs="OpenSymbol" w:hAnsi="OpenSymbol" w:hint="default"/>
      </w:rPr>
    </w:lvl>
    <w:lvl w:ilvl="5">
      <w:start w:val="1"/>
      <w:numFmt w:val="bullet"/>
      <w:lvlText w:val="▪"/>
      <w:lvlJc w:val="left"/>
      <w:pPr>
        <w:tabs>
          <w:tab w:pos="2520" w:val="num"/>
        </w:tabs>
        <w:ind w:hanging="360" w:left="2520"/>
      </w:pPr>
      <w:rPr>
        <w:rFonts w:ascii="OpenSymbol" w:cs="OpenSymbol" w:hAnsi="OpenSymbol" w:hint="default"/>
      </w:rPr>
    </w:lvl>
    <w:lvl w:ilvl="6">
      <w:start w:val="1"/>
      <w:numFmt w:val="bullet"/>
      <w:lvlText w:val=""/>
      <w:lvlJc w:val="left"/>
      <w:pPr>
        <w:tabs>
          <w:tab w:pos="2880" w:val="num"/>
        </w:tabs>
        <w:ind w:hanging="360" w:left="2880"/>
      </w:pPr>
      <w:rPr>
        <w:rFonts w:ascii="Symbol" w:cs="Symbol" w:hAnsi="Symbol" w:hint="default"/>
      </w:rPr>
    </w:lvl>
    <w:lvl w:ilvl="7">
      <w:start w:val="1"/>
      <w:numFmt w:val="bullet"/>
      <w:lvlText w:val="◦"/>
      <w:lvlJc w:val="left"/>
      <w:pPr>
        <w:tabs>
          <w:tab w:pos="3240" w:val="num"/>
        </w:tabs>
        <w:ind w:hanging="360" w:left="3240"/>
      </w:pPr>
      <w:rPr>
        <w:rFonts w:ascii="OpenSymbol" w:cs="OpenSymbol" w:hAnsi="OpenSymbol" w:hint="default"/>
      </w:rPr>
    </w:lvl>
    <w:lvl w:ilvl="8">
      <w:start w:val="1"/>
      <w:numFmt w:val="bullet"/>
      <w:lvlText w:val="▪"/>
      <w:lvlJc w:val="left"/>
      <w:pPr>
        <w:tabs>
          <w:tab w:pos="3600" w:val="num"/>
        </w:tabs>
        <w:ind w:hanging="360" w:left="3600"/>
      </w:pPr>
      <w:rPr>
        <w:rFonts w:ascii="OpenSymbol" w:cs="OpenSymbol" w:hAnsi="OpenSymbol" w:hint="default"/>
      </w:rPr>
    </w:lvl>
  </w:abstractNum>
  <w:abstractNum w:abstractNumId="25">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60"/>
  <w:defaultTabStop w:val="720"/>
</w:settings>
</file>

<file path=word/styles.xml><?xml version="1.0" encoding="utf-8"?>
<w:styles xmlns:w="http://schemas.openxmlformats.org/wordprocessingml/2006/main">
  <w:style w:styleId="style0" w:type="paragraph">
    <w:name w:val="Normal"/>
    <w:next w:val="style0"/>
    <w:pPr>
      <w:widowControl/>
      <w:suppressAutoHyphens w:val="true"/>
    </w:pPr>
    <w:rPr>
      <w:rFonts w:ascii="Times New Roman" w:cs="Times New Roman" w:eastAsia="Times New Roman" w:hAnsi="Times New Roman"/>
      <w:color w:val="auto"/>
      <w:sz w:val="20"/>
      <w:szCs w:val="20"/>
      <w:lang w:bidi="ar-SA" w:eastAsia="en-US" w:val="en-US"/>
    </w:rPr>
  </w:style>
  <w:style w:styleId="style1" w:type="paragraph">
    <w:name w:val="Heading 1"/>
    <w:basedOn w:val="style0"/>
    <w:next w:val="style1"/>
    <w:pPr>
      <w:keepNext/>
    </w:pPr>
    <w:rPr>
      <w:sz w:val="24"/>
      <w:lang w:val="en-GB"/>
    </w:rPr>
  </w:style>
  <w:style w:styleId="style2" w:type="paragraph">
    <w:name w:val="Heading 2"/>
    <w:basedOn w:val="style0"/>
    <w:next w:val="style2"/>
    <w:pPr>
      <w:keepNext/>
      <w:ind w:hanging="0" w:left="720" w:right="0"/>
    </w:pPr>
    <w:rPr>
      <w:sz w:val="24"/>
      <w:u w:val="single"/>
      <w:lang w:val="en-GB"/>
    </w:rPr>
  </w:style>
  <w:style w:styleId="style6" w:type="paragraph">
    <w:name w:val="Heading 6"/>
    <w:basedOn w:val="style0"/>
    <w:next w:val="style6"/>
    <w:pPr>
      <w:keepNext/>
      <w:keepLines/>
      <w:spacing w:after="0" w:before="200"/>
      <w:contextualSpacing w:val="false"/>
    </w:pPr>
    <w:rPr>
      <w:rFonts w:ascii="Calibri" w:cs="" w:hAnsi="Calibri"/>
      <w:i/>
      <w:iCs/>
      <w:color w:val="243F60"/>
    </w:rPr>
  </w:style>
  <w:style w:styleId="style7" w:type="paragraph">
    <w:name w:val="Heading 7"/>
    <w:basedOn w:val="style0"/>
    <w:next w:val="style7"/>
    <w:pPr>
      <w:keepNext/>
    </w:pPr>
    <w:rPr>
      <w:b/>
      <w:sz w:val="24"/>
      <w:lang w:val="en-GB"/>
    </w:rPr>
  </w:style>
  <w:style w:styleId="style8" w:type="paragraph">
    <w:name w:val="Heading 8"/>
    <w:basedOn w:val="style0"/>
    <w:next w:val="style8"/>
    <w:pPr>
      <w:keepNext/>
      <w:keepLines/>
      <w:spacing w:after="0" w:before="200"/>
      <w:contextualSpacing w:val="false"/>
    </w:pPr>
    <w:rPr>
      <w:rFonts w:ascii="Calibri" w:cs="" w:hAnsi="Calibri"/>
      <w:color w:val="404040"/>
    </w:rPr>
  </w:style>
  <w:style w:styleId="style15" w:type="character">
    <w:name w:val="Default Paragraph Font"/>
    <w:next w:val="style15"/>
    <w:rPr/>
  </w:style>
  <w:style w:styleId="style16" w:type="character">
    <w:name w:val="Heading 2 Char"/>
    <w:basedOn w:val="style15"/>
    <w:next w:val="style16"/>
    <w:rPr>
      <w:rFonts w:ascii="Times New Roman" w:cs="Times New Roman" w:eastAsia="Times New Roman" w:hAnsi="Times New Roman"/>
      <w:sz w:val="20"/>
      <w:szCs w:val="20"/>
      <w:u w:val="single"/>
      <w:lang w:val="en-GB"/>
    </w:rPr>
  </w:style>
  <w:style w:styleId="style17" w:type="character">
    <w:name w:val="Body Text 3 Char"/>
    <w:basedOn w:val="style15"/>
    <w:next w:val="style17"/>
    <w:rPr>
      <w:rFonts w:ascii="Times New Roman" w:cs="Times New Roman" w:eastAsia="Times New Roman" w:hAnsi="Times New Roman"/>
      <w:color w:val="000000"/>
      <w:sz w:val="23"/>
    </w:rPr>
  </w:style>
  <w:style w:styleId="style18" w:type="character">
    <w:name w:val="Heading 6 Char"/>
    <w:basedOn w:val="style15"/>
    <w:next w:val="style18"/>
    <w:rPr>
      <w:rFonts w:ascii="Calibri" w:cs="" w:hAnsi="Calibri"/>
      <w:i/>
      <w:iCs/>
      <w:color w:val="243F60"/>
      <w:sz w:val="20"/>
      <w:szCs w:val="20"/>
    </w:rPr>
  </w:style>
  <w:style w:styleId="style19" w:type="character">
    <w:name w:val="Heading 8 Char"/>
    <w:basedOn w:val="style15"/>
    <w:next w:val="style19"/>
    <w:rPr>
      <w:rFonts w:ascii="Calibri" w:cs="" w:hAnsi="Calibri"/>
      <w:color w:val="404040"/>
      <w:sz w:val="20"/>
      <w:szCs w:val="20"/>
    </w:rPr>
  </w:style>
  <w:style w:styleId="style20" w:type="character">
    <w:name w:val="Heading 1 Char"/>
    <w:basedOn w:val="style15"/>
    <w:next w:val="style20"/>
    <w:rPr>
      <w:rFonts w:ascii="Times New Roman" w:cs="Times New Roman" w:eastAsia="Times New Roman" w:hAnsi="Times New Roman"/>
      <w:sz w:val="20"/>
      <w:szCs w:val="20"/>
      <w:lang w:val="en-GB"/>
    </w:rPr>
  </w:style>
  <w:style w:styleId="style21" w:type="character">
    <w:name w:val="Heading 7 Char"/>
    <w:basedOn w:val="style15"/>
    <w:next w:val="style21"/>
    <w:rPr>
      <w:rFonts w:ascii="Times New Roman" w:cs="Times New Roman" w:eastAsia="Times New Roman" w:hAnsi="Times New Roman"/>
      <w:b/>
      <w:sz w:val="20"/>
      <w:szCs w:val="20"/>
      <w:lang w:val="en-GB"/>
    </w:rPr>
  </w:style>
  <w:style w:styleId="style22" w:type="character">
    <w:name w:val="Balloon Text Char"/>
    <w:basedOn w:val="style15"/>
    <w:next w:val="style22"/>
    <w:rPr>
      <w:rFonts w:ascii="Tahoma" w:cs="Tahoma" w:eastAsia="Times New Roman" w:hAnsi="Tahoma"/>
      <w:sz w:val="16"/>
      <w:szCs w:val="16"/>
    </w:rPr>
  </w:style>
  <w:style w:styleId="style23" w:type="character">
    <w:name w:val="Header Char"/>
    <w:basedOn w:val="style15"/>
    <w:next w:val="style23"/>
    <w:rPr>
      <w:rFonts w:ascii="Times New Roman" w:cs="Times New Roman" w:eastAsia="Times New Roman" w:hAnsi="Times New Roman"/>
      <w:sz w:val="20"/>
      <w:szCs w:val="20"/>
    </w:rPr>
  </w:style>
  <w:style w:styleId="style24" w:type="character">
    <w:name w:val="Footer Char"/>
    <w:basedOn w:val="style15"/>
    <w:next w:val="style24"/>
    <w:rPr>
      <w:rFonts w:ascii="Times New Roman" w:cs="Times New Roman" w:eastAsia="Times New Roman" w:hAnsi="Times New Roman"/>
      <w:sz w:val="20"/>
      <w:szCs w:val="20"/>
    </w:rPr>
  </w:style>
  <w:style w:styleId="style25" w:type="character">
    <w:name w:val="ListLabel 1"/>
    <w:next w:val="style25"/>
    <w:rPr>
      <w:rFonts w:cs="Times New Roman" w:eastAsia="Times New Roman"/>
    </w:rPr>
  </w:style>
  <w:style w:styleId="style26" w:type="character">
    <w:name w:val="ListLabel 2"/>
    <w:next w:val="style26"/>
    <w:rPr>
      <w:b w:val="false"/>
      <w:u w:val="none"/>
    </w:rPr>
  </w:style>
  <w:style w:styleId="style27" w:type="character">
    <w:name w:val="ListLabel 3"/>
    <w:next w:val="style27"/>
    <w:rPr>
      <w:rFonts w:cs="Courier New"/>
    </w:rPr>
  </w:style>
  <w:style w:styleId="style28" w:type="character">
    <w:name w:val="Numbering Symbols"/>
    <w:next w:val="style28"/>
    <w:rPr/>
  </w:style>
  <w:style w:styleId="style29" w:type="character">
    <w:name w:val="Bullets"/>
    <w:next w:val="style29"/>
    <w:rPr>
      <w:rFonts w:ascii="OpenSymbol" w:cs="OpenSymbol" w:eastAsia="OpenSymbol" w:hAnsi="OpenSymbol"/>
    </w:rPr>
  </w:style>
  <w:style w:styleId="style30" w:type="paragraph">
    <w:name w:val="Heading"/>
    <w:basedOn w:val="style0"/>
    <w:next w:val="style31"/>
    <w:pPr>
      <w:keepNext/>
      <w:spacing w:after="120" w:before="240"/>
      <w:contextualSpacing w:val="false"/>
    </w:pPr>
    <w:rPr>
      <w:rFonts w:ascii="Arial" w:cs="Lucida Sans" w:eastAsia="SimSun" w:hAnsi="Arial"/>
      <w:sz w:val="28"/>
      <w:szCs w:val="28"/>
    </w:rPr>
  </w:style>
  <w:style w:styleId="style31" w:type="paragraph">
    <w:name w:val="Text Body"/>
    <w:basedOn w:val="style0"/>
    <w:next w:val="style31"/>
    <w:pPr>
      <w:spacing w:after="120" w:before="0"/>
      <w:contextualSpacing w:val="false"/>
    </w:pPr>
    <w:rPr/>
  </w:style>
  <w:style w:styleId="style32" w:type="paragraph">
    <w:name w:val="List"/>
    <w:basedOn w:val="style31"/>
    <w:next w:val="style32"/>
    <w:pPr/>
    <w:rPr>
      <w:rFonts w:ascii="Arial" w:cs="Lucida Sans" w:hAnsi="Arial"/>
    </w:rPr>
  </w:style>
  <w:style w:styleId="style33" w:type="paragraph">
    <w:name w:val="Caption"/>
    <w:basedOn w:val="style0"/>
    <w:next w:val="style33"/>
    <w:pPr>
      <w:suppressLineNumbers/>
      <w:spacing w:after="120" w:before="120"/>
      <w:contextualSpacing w:val="false"/>
    </w:pPr>
    <w:rPr>
      <w:rFonts w:ascii="Arial" w:cs="Lucida Sans" w:hAnsi="Arial"/>
      <w:i/>
      <w:iCs/>
      <w:sz w:val="24"/>
      <w:szCs w:val="24"/>
    </w:rPr>
  </w:style>
  <w:style w:styleId="style34" w:type="paragraph">
    <w:name w:val="Index"/>
    <w:basedOn w:val="style0"/>
    <w:next w:val="style34"/>
    <w:pPr>
      <w:suppressLineNumbers/>
    </w:pPr>
    <w:rPr>
      <w:rFonts w:ascii="Arial" w:cs="Lucida Sans" w:hAnsi="Arial"/>
    </w:rPr>
  </w:style>
  <w:style w:styleId="style35" w:type="paragraph">
    <w:name w:val="Body Text 3"/>
    <w:basedOn w:val="style0"/>
    <w:next w:val="style35"/>
    <w:pPr>
      <w:jc w:val="both"/>
    </w:pPr>
    <w:rPr>
      <w:color w:val="000000"/>
      <w:sz w:val="23"/>
      <w:szCs w:val="24"/>
    </w:rPr>
  </w:style>
  <w:style w:styleId="style36" w:type="paragraph">
    <w:name w:val="caption"/>
    <w:basedOn w:val="style0"/>
    <w:next w:val="style36"/>
    <w:pPr>
      <w:spacing w:after="200" w:before="0"/>
      <w:contextualSpacing w:val="false"/>
    </w:pPr>
    <w:rPr>
      <w:b/>
      <w:bCs/>
      <w:color w:val="4F81BD"/>
      <w:sz w:val="18"/>
      <w:szCs w:val="18"/>
    </w:rPr>
  </w:style>
  <w:style w:styleId="style37" w:type="paragraph">
    <w:name w:val="List Paragraph"/>
    <w:basedOn w:val="style0"/>
    <w:next w:val="style37"/>
    <w:pPr>
      <w:spacing w:after="200" w:before="0" w:line="276" w:lineRule="auto"/>
      <w:ind w:hanging="0" w:left="720" w:right="0"/>
      <w:contextualSpacing/>
    </w:pPr>
    <w:rPr>
      <w:rFonts w:ascii="Calibri" w:eastAsia="Calibri" w:hAnsi="Calibri"/>
      <w:sz w:val="22"/>
      <w:szCs w:val="22"/>
    </w:rPr>
  </w:style>
  <w:style w:styleId="style38" w:type="paragraph">
    <w:name w:val="Balloon Text"/>
    <w:basedOn w:val="style0"/>
    <w:next w:val="style38"/>
    <w:pPr/>
    <w:rPr>
      <w:rFonts w:ascii="Tahoma" w:cs="Tahoma" w:hAnsi="Tahoma"/>
      <w:sz w:val="16"/>
      <w:szCs w:val="16"/>
    </w:rPr>
  </w:style>
  <w:style w:styleId="style39" w:type="paragraph">
    <w:name w:val="Header"/>
    <w:basedOn w:val="style0"/>
    <w:next w:val="style39"/>
    <w:pPr>
      <w:tabs>
        <w:tab w:leader="none" w:pos="4320" w:val="center"/>
        <w:tab w:leader="none" w:pos="8640" w:val="right"/>
      </w:tabs>
    </w:pPr>
    <w:rPr/>
  </w:style>
  <w:style w:styleId="style40" w:type="paragraph">
    <w:name w:val="Footer"/>
    <w:basedOn w:val="style0"/>
    <w:next w:val="style40"/>
    <w:pPr>
      <w:tabs>
        <w:tab w:leader="none" w:pos="4320" w:val="center"/>
        <w:tab w:leader="none" w:pos="8640" w:val="right"/>
      </w:tabs>
    </w:pPr>
    <w:rPr/>
  </w:style>
  <w:style w:styleId="style41" w:type="paragraph">
    <w:name w:val="Frame Contents"/>
    <w:basedOn w:val="style31"/>
    <w:next w:val="style41"/>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0</TotalTime>
  <Application>Microsoft Macintosh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2014-07-25T14:03:00.00Z</dcterms:created>
  <dc:creator>Ruth Shakespeare</dc:creator>
  <cp:lastModifiedBy>Ruth Shakespeare</cp:lastModifiedBy>
  <dcterms:modified xsi:type="dcterms:W3CDTF">2014-07-25T14:03:00.00Z</dcterms:modified>
  <cp:revision>2</cp:revision>
</cp:coreProperties>
</file>